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A36B" w14:textId="77777777" w:rsidR="00F54F1F" w:rsidRPr="00C07BE5" w:rsidRDefault="00F54F1F" w:rsidP="00F54F1F">
      <w:pPr>
        <w:spacing w:after="0" w:line="240" w:lineRule="auto"/>
        <w:ind w:right="-8"/>
        <w:rPr>
          <w:rFonts w:ascii="Montserrat" w:hAnsi="Montserrat" w:cstheme="minorHAnsi"/>
          <w:sz w:val="20"/>
          <w:szCs w:val="20"/>
        </w:rPr>
      </w:pPr>
    </w:p>
    <w:tbl>
      <w:tblPr>
        <w:tblStyle w:val="LightShading"/>
        <w:tblW w:w="0" w:type="auto"/>
        <w:tblBorders>
          <w:top w:val="none" w:sz="0" w:space="0" w:color="auto"/>
          <w:bottom w:val="none" w:sz="0" w:space="0" w:color="auto"/>
        </w:tblBorders>
        <w:tblLook w:val="04A0" w:firstRow="1" w:lastRow="0" w:firstColumn="1" w:lastColumn="0" w:noHBand="0" w:noVBand="1"/>
      </w:tblPr>
      <w:tblGrid>
        <w:gridCol w:w="4494"/>
        <w:gridCol w:w="5123"/>
      </w:tblGrid>
      <w:tr w:rsidR="00F54F1F" w:rsidRPr="00C07BE5" w14:paraId="55725550" w14:textId="77777777" w:rsidTr="00876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none" w:sz="0" w:space="0" w:color="auto"/>
              <w:left w:val="none" w:sz="0" w:space="0" w:color="auto"/>
              <w:bottom w:val="none" w:sz="0" w:space="0" w:color="auto"/>
              <w:right w:val="none" w:sz="0" w:space="0" w:color="auto"/>
            </w:tcBorders>
            <w:shd w:val="clear" w:color="auto" w:fill="auto"/>
          </w:tcPr>
          <w:p w14:paraId="2E013609" w14:textId="77777777" w:rsidR="00F54F1F" w:rsidRPr="00C07BE5" w:rsidRDefault="00F54F1F" w:rsidP="00876CCD">
            <w:pPr>
              <w:pStyle w:val="Malinaslovopisa"/>
              <w:ind w:right="-8"/>
              <w:rPr>
                <w:b w:val="0"/>
                <w:bCs w:val="0"/>
                <w:lang w:val="hr-HR"/>
              </w:rPr>
            </w:pPr>
            <w:r w:rsidRPr="00C07BE5">
              <w:rPr>
                <w:noProof/>
              </w:rPr>
              <w:drawing>
                <wp:inline distT="0" distB="0" distL="0" distR="0" wp14:anchorId="6A08AC52" wp14:editId="69C7ABEA">
                  <wp:extent cx="2400398" cy="2400398"/>
                  <wp:effectExtent l="0" t="0" r="12700" b="1270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00535" cy="2400535"/>
                          </a:xfrm>
                          <a:prstGeom prst="rect">
                            <a:avLst/>
                          </a:prstGeom>
                        </pic:spPr>
                      </pic:pic>
                    </a:graphicData>
                  </a:graphic>
                </wp:inline>
              </w:drawing>
            </w:r>
          </w:p>
        </w:tc>
        <w:tc>
          <w:tcPr>
            <w:tcW w:w="5210" w:type="dxa"/>
            <w:tcBorders>
              <w:top w:val="none" w:sz="0" w:space="0" w:color="auto"/>
              <w:left w:val="none" w:sz="0" w:space="0" w:color="auto"/>
              <w:bottom w:val="none" w:sz="0" w:space="0" w:color="auto"/>
              <w:right w:val="none" w:sz="0" w:space="0" w:color="auto"/>
            </w:tcBorders>
            <w:shd w:val="clear" w:color="auto" w:fill="auto"/>
            <w:vAlign w:val="center"/>
          </w:tcPr>
          <w:p w14:paraId="7F82BBFA" w14:textId="77777777" w:rsidR="00F54F1F" w:rsidRPr="00C07BE5" w:rsidRDefault="00F54F1F" w:rsidP="00876CCD">
            <w:pPr>
              <w:pStyle w:val="NoSpacing"/>
              <w:ind w:right="-8"/>
              <w:cnfStyle w:val="100000000000" w:firstRow="1" w:lastRow="0" w:firstColumn="0" w:lastColumn="0" w:oddVBand="0" w:evenVBand="0" w:oddHBand="0" w:evenHBand="0" w:firstRowFirstColumn="0" w:firstRowLastColumn="0" w:lastRowFirstColumn="0" w:lastRowLastColumn="0"/>
              <w:rPr>
                <w:lang w:val="hr-HR"/>
              </w:rPr>
            </w:pPr>
          </w:p>
        </w:tc>
      </w:tr>
    </w:tbl>
    <w:p w14:paraId="1E3FC2B2" w14:textId="77777777" w:rsidR="00F54F1F" w:rsidRPr="00C07BE5" w:rsidRDefault="00F54F1F" w:rsidP="00F54F1F">
      <w:pPr>
        <w:pStyle w:val="Malinaslovopisa"/>
        <w:ind w:right="-8"/>
      </w:pPr>
    </w:p>
    <w:p w14:paraId="0F1CD7F8" w14:textId="77777777" w:rsidR="00F54F1F" w:rsidRPr="00C07BE5" w:rsidRDefault="00F54F1F" w:rsidP="00F54F1F">
      <w:pPr>
        <w:pStyle w:val="Malinaslovopisa"/>
        <w:ind w:right="-8"/>
      </w:pPr>
    </w:p>
    <w:p w14:paraId="60960C80" w14:textId="77777777" w:rsidR="00F54F1F" w:rsidRPr="00C07BE5" w:rsidRDefault="00F54F1F" w:rsidP="00F54F1F">
      <w:pPr>
        <w:pStyle w:val="Malinaslovopisa"/>
        <w:ind w:right="-8"/>
      </w:pPr>
    </w:p>
    <w:p w14:paraId="4830886C" w14:textId="3C7B9445" w:rsidR="00F54F1F" w:rsidRPr="00C07BE5" w:rsidRDefault="00CB09BE" w:rsidP="00490FA0">
      <w:pPr>
        <w:pStyle w:val="NASLOVNICA"/>
        <w:ind w:left="1985"/>
        <w:rPr>
          <w:rFonts w:cs="Times New Roman"/>
        </w:rPr>
      </w:pPr>
      <w:r w:rsidRPr="00C07BE5">
        <w:rPr>
          <w:rFonts w:cs="Times New Roman"/>
          <w:noProof/>
        </w:rPr>
        <mc:AlternateContent>
          <mc:Choice Requires="wps">
            <w:drawing>
              <wp:anchor distT="0" distB="0" distL="114300" distR="114300" simplePos="0" relativeHeight="251659264" behindDoc="0" locked="0" layoutInCell="1" allowOverlap="1" wp14:anchorId="2C1B1FF4" wp14:editId="640B614E">
                <wp:simplePos x="0" y="0"/>
                <wp:positionH relativeFrom="margin">
                  <wp:align>right</wp:align>
                </wp:positionH>
                <wp:positionV relativeFrom="paragraph">
                  <wp:posOffset>2754630</wp:posOffset>
                </wp:positionV>
                <wp:extent cx="48600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860000" cy="0"/>
                        </a:xfrm>
                        <a:prstGeom prst="line">
                          <a:avLst/>
                        </a:prstGeom>
                        <a:ln w="12700">
                          <a:solidFill>
                            <a:schemeClr val="tx1">
                              <a:lumMod val="75000"/>
                              <a:lumOff val="25000"/>
                            </a:schemeClr>
                          </a:solidFill>
                          <a:beve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71DB0" id="Straight Connector 2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1.5pt,216.9pt" to="714.2pt,2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XI4gEAADEEAAAOAAAAZHJzL2Uyb0RvYy54bWysU8lu2zAQvRfoPxC817KFNgkEyzkkSC9d&#10;gjb9AJoaWgS4gWQk+e87JGU5bosegvhAk8OZeQtH29tJKzKAD9Kalm5Wa0rAcNtJc2jpr6eHDzeU&#10;hMhMx5Q10NIjBHq7e/9uO7oGattb1YEn2MSEZnQt7WN0TVUF3oNmYWUdGLwU1msW8egPVefZiN21&#10;qur1+qoare+ctxxCwOh9uaS73F8I4PG7EAEiUS1FbjGvPq/7tFa7LWsOnrle8pkGewULzaRB0KXV&#10;PYuMPHv5VystubfBirjiVldWCMkha0A1m/Ufan72zEHWguYEt9gU3q4t/zbcmUePNowuNME9+qRi&#10;El6nf+RHpmzWcTELpkg4Bj/eXK3xRwk/3VXnQudD/AxWk7RpqZIm6WANG76EiGCYekpJYWXIiNNT&#10;X2O/dA5Wye5BKpUPaRbgTnkyMHzFOG1yjnrWX21XYtefEpP8lhjGFy/h+hRGuDxRqUsGvwDYwwCq&#10;kFImIUIenJnp2Ze8i0cFhfIPEER26ERdOF/SZJyDiZtECtGVwexUJlDUUjiL/V/hnH9mtRQXFxZZ&#10;RfElatFxQrYmLsVaGuv/RTu5WyiLko/0X+hO273tjnli8gXOZVY4f0Np8F+ec/n5S9/9BgAA//8D&#10;AFBLAwQUAAYACAAAACEAHXwXB94AAAAIAQAADwAAAGRycy9kb3ducmV2LnhtbEyPwUrDQBCG70Lf&#10;YZmCF7Gb2jSVmE0pgiAiiLEHj5vsNEmbnQ3ZbRvfviMU9DjzD/98X7YebSdOOPjWkYL5LAKBVDnT&#10;Uq1g+/Vy/wjCB01Gd45QwQ96WOeTm0ynxp3pE09FqAWXkE+1giaEPpXSVw1a7WeuR+Js5warA49D&#10;Lc2gz1xuO/kQRYm0uiX+0OgenxusDsXRKnjfYPJR3Pk3u98eXncVxeVy9a3U7XTcPIEIOIa/Y/jF&#10;Z3TImal0RzJedApYJCiIFwsW4HiVLGMQ5XUj80z+F8gvAAAA//8DAFBLAQItABQABgAIAAAAIQC2&#10;gziS/gAAAOEBAAATAAAAAAAAAAAAAAAAAAAAAABbQ29udGVudF9UeXBlc10ueG1sUEsBAi0AFAAG&#10;AAgAAAAhADj9If/WAAAAlAEAAAsAAAAAAAAAAAAAAAAALwEAAF9yZWxzLy5yZWxzUEsBAi0AFAAG&#10;AAgAAAAhAMEKlcjiAQAAMQQAAA4AAAAAAAAAAAAAAAAALgIAAGRycy9lMm9Eb2MueG1sUEsBAi0A&#10;FAAGAAgAAAAhAB18FwfeAAAACAEAAA8AAAAAAAAAAAAAAAAAPAQAAGRycy9kb3ducmV2LnhtbFBL&#10;BQYAAAAABAAEAPMAAABHBQAAAAA=&#10;" strokecolor="#404040 [2429]" strokeweight="1pt">
                <v:stroke joinstyle="bevel"/>
                <w10:wrap anchorx="margin"/>
              </v:line>
            </w:pict>
          </mc:Fallback>
        </mc:AlternateContent>
      </w:r>
      <w:r w:rsidRPr="00C07BE5">
        <w:rPr>
          <w:rFonts w:cs="Times New Roman"/>
        </w:rPr>
        <w:t xml:space="preserve">IZVJEŠĆE O OSTVARIVANJU </w:t>
      </w:r>
      <w:r w:rsidRPr="00C07BE5">
        <w:rPr>
          <w:rFonts w:cs="Times New Roman"/>
          <w:color w:val="646668"/>
        </w:rPr>
        <w:t>PROGRAMA</w:t>
      </w:r>
      <w:r w:rsidRPr="00C07BE5">
        <w:rPr>
          <w:rFonts w:cs="Times New Roman"/>
        </w:rPr>
        <w:t xml:space="preserve"> RADA I FINANCIJSKO IZVJEŠĆE ZA 202</w:t>
      </w:r>
      <w:r w:rsidR="0045103A" w:rsidRPr="00C07BE5">
        <w:rPr>
          <w:rFonts w:cs="Times New Roman"/>
        </w:rPr>
        <w:t>3</w:t>
      </w:r>
      <w:r w:rsidRPr="00C07BE5">
        <w:rPr>
          <w:rFonts w:cs="Times New Roman"/>
        </w:rPr>
        <w:t>. GODINU</w:t>
      </w:r>
    </w:p>
    <w:p w14:paraId="0CDDB417" w14:textId="54DA024F" w:rsidR="00982FEE" w:rsidRPr="00C07BE5" w:rsidRDefault="00982FEE" w:rsidP="00F54F1F">
      <w:pPr>
        <w:spacing w:after="0" w:line="264" w:lineRule="auto"/>
        <w:ind w:left="1985"/>
        <w:rPr>
          <w:rFonts w:ascii="Montserrat Light" w:hAnsi="Montserrat Light" w:cstheme="minorHAnsi"/>
          <w:color w:val="595959" w:themeColor="text1" w:themeTint="A6"/>
          <w:sz w:val="40"/>
          <w:szCs w:val="40"/>
        </w:rPr>
      </w:pPr>
    </w:p>
    <w:p w14:paraId="4A9779F9" w14:textId="77777777" w:rsidR="00490FA0" w:rsidRPr="00C07BE5" w:rsidRDefault="00490FA0" w:rsidP="00F54F1F">
      <w:pPr>
        <w:spacing w:after="0" w:line="264" w:lineRule="auto"/>
        <w:ind w:left="1985"/>
        <w:rPr>
          <w:rFonts w:ascii="Montserrat Light" w:hAnsi="Montserrat Light" w:cstheme="minorHAnsi"/>
          <w:color w:val="595959" w:themeColor="text1" w:themeTint="A6"/>
          <w:sz w:val="40"/>
          <w:szCs w:val="40"/>
        </w:rPr>
      </w:pPr>
    </w:p>
    <w:p w14:paraId="4029A3EB" w14:textId="6C17C64E" w:rsidR="00F54F1F" w:rsidRPr="00C07BE5" w:rsidRDefault="004B7FF7" w:rsidP="00F54F1F">
      <w:pPr>
        <w:spacing w:after="0" w:line="264" w:lineRule="auto"/>
        <w:ind w:left="1985"/>
        <w:rPr>
          <w:rFonts w:cs="Times New Roman"/>
          <w:sz w:val="20"/>
          <w:szCs w:val="20"/>
        </w:rPr>
      </w:pPr>
      <w:r w:rsidRPr="00C07BE5">
        <w:rPr>
          <w:rFonts w:cs="Times New Roman"/>
          <w:color w:val="595959" w:themeColor="text1" w:themeTint="A6"/>
          <w:sz w:val="40"/>
          <w:szCs w:val="40"/>
        </w:rPr>
        <w:t>Za razdoblje 1. 1. 202</w:t>
      </w:r>
      <w:r w:rsidR="0045103A" w:rsidRPr="00C07BE5">
        <w:rPr>
          <w:rFonts w:cs="Times New Roman"/>
          <w:color w:val="595959" w:themeColor="text1" w:themeTint="A6"/>
          <w:sz w:val="40"/>
          <w:szCs w:val="40"/>
        </w:rPr>
        <w:t>3</w:t>
      </w:r>
      <w:r w:rsidRPr="00C07BE5">
        <w:rPr>
          <w:rFonts w:cs="Times New Roman"/>
          <w:color w:val="595959" w:themeColor="text1" w:themeTint="A6"/>
          <w:sz w:val="40"/>
          <w:szCs w:val="40"/>
        </w:rPr>
        <w:t>. – 3</w:t>
      </w:r>
      <w:r w:rsidR="00CB09BE" w:rsidRPr="00C07BE5">
        <w:rPr>
          <w:rFonts w:cs="Times New Roman"/>
          <w:color w:val="595959" w:themeColor="text1" w:themeTint="A6"/>
          <w:sz w:val="40"/>
          <w:szCs w:val="40"/>
        </w:rPr>
        <w:t>1</w:t>
      </w:r>
      <w:r w:rsidRPr="00C07BE5">
        <w:rPr>
          <w:rFonts w:cs="Times New Roman"/>
          <w:color w:val="595959" w:themeColor="text1" w:themeTint="A6"/>
          <w:sz w:val="40"/>
          <w:szCs w:val="40"/>
        </w:rPr>
        <w:t xml:space="preserve">. </w:t>
      </w:r>
      <w:r w:rsidR="00CB09BE" w:rsidRPr="00C07BE5">
        <w:rPr>
          <w:rFonts w:cs="Times New Roman"/>
          <w:color w:val="595959" w:themeColor="text1" w:themeTint="A6"/>
          <w:sz w:val="40"/>
          <w:szCs w:val="40"/>
        </w:rPr>
        <w:t>12</w:t>
      </w:r>
      <w:r w:rsidRPr="00C07BE5">
        <w:rPr>
          <w:rFonts w:cs="Times New Roman"/>
          <w:color w:val="595959" w:themeColor="text1" w:themeTint="A6"/>
          <w:sz w:val="40"/>
          <w:szCs w:val="40"/>
        </w:rPr>
        <w:t>. 202</w:t>
      </w:r>
      <w:r w:rsidR="0045103A" w:rsidRPr="00C07BE5">
        <w:rPr>
          <w:rFonts w:cs="Times New Roman"/>
          <w:color w:val="595959" w:themeColor="text1" w:themeTint="A6"/>
          <w:sz w:val="40"/>
          <w:szCs w:val="40"/>
        </w:rPr>
        <w:t>3</w:t>
      </w:r>
      <w:r w:rsidRPr="00C07BE5">
        <w:rPr>
          <w:rFonts w:cs="Times New Roman"/>
          <w:color w:val="595959" w:themeColor="text1" w:themeTint="A6"/>
          <w:sz w:val="40"/>
          <w:szCs w:val="40"/>
        </w:rPr>
        <w:t>.</w:t>
      </w:r>
    </w:p>
    <w:p w14:paraId="18823B2D" w14:textId="77777777" w:rsidR="00F54F1F" w:rsidRPr="00C07BE5" w:rsidRDefault="00F54F1F" w:rsidP="00F54F1F">
      <w:pPr>
        <w:spacing w:after="0" w:line="264" w:lineRule="auto"/>
        <w:ind w:left="1985"/>
        <w:rPr>
          <w:rFonts w:ascii="Montserrat" w:hAnsi="Montserrat" w:cstheme="minorHAnsi"/>
          <w:sz w:val="20"/>
          <w:szCs w:val="20"/>
        </w:rPr>
      </w:pPr>
    </w:p>
    <w:p w14:paraId="5724E7CA" w14:textId="77777777" w:rsidR="00F54F1F" w:rsidRPr="00C07BE5" w:rsidRDefault="00F54F1F" w:rsidP="00F54F1F">
      <w:pPr>
        <w:spacing w:after="0" w:line="264" w:lineRule="auto"/>
        <w:ind w:left="1985"/>
        <w:rPr>
          <w:rFonts w:ascii="Montserrat" w:hAnsi="Montserrat" w:cstheme="minorHAnsi"/>
          <w:sz w:val="20"/>
          <w:szCs w:val="20"/>
        </w:rPr>
      </w:pPr>
    </w:p>
    <w:p w14:paraId="3DDD244C" w14:textId="0F6A4A93" w:rsidR="00F54F1F" w:rsidRPr="00C07BE5" w:rsidRDefault="00F54F1F" w:rsidP="00F54F1F">
      <w:pPr>
        <w:spacing w:after="0" w:line="264" w:lineRule="auto"/>
        <w:ind w:left="1985"/>
        <w:rPr>
          <w:rFonts w:ascii="Montserrat" w:hAnsi="Montserrat" w:cstheme="minorHAnsi"/>
          <w:sz w:val="20"/>
          <w:szCs w:val="20"/>
        </w:rPr>
      </w:pPr>
    </w:p>
    <w:p w14:paraId="7BBB9DB3" w14:textId="679DD3FC" w:rsidR="004838C1" w:rsidRPr="00C07BE5" w:rsidRDefault="004838C1" w:rsidP="00F54F1F">
      <w:pPr>
        <w:spacing w:after="0" w:line="264" w:lineRule="auto"/>
        <w:ind w:left="1985"/>
        <w:rPr>
          <w:rFonts w:ascii="Montserrat" w:hAnsi="Montserrat" w:cstheme="minorHAnsi"/>
          <w:sz w:val="20"/>
          <w:szCs w:val="20"/>
        </w:rPr>
      </w:pPr>
    </w:p>
    <w:p w14:paraId="2CDA6368" w14:textId="51246618" w:rsidR="004838C1" w:rsidRPr="00C07BE5" w:rsidRDefault="004838C1" w:rsidP="00F54F1F">
      <w:pPr>
        <w:spacing w:after="0" w:line="264" w:lineRule="auto"/>
        <w:ind w:left="1985"/>
        <w:rPr>
          <w:rFonts w:ascii="Montserrat" w:hAnsi="Montserrat" w:cstheme="minorHAnsi"/>
          <w:sz w:val="20"/>
          <w:szCs w:val="20"/>
        </w:rPr>
      </w:pPr>
    </w:p>
    <w:p w14:paraId="7C6D9456" w14:textId="12E09D7B" w:rsidR="004838C1" w:rsidRPr="00C07BE5" w:rsidRDefault="004838C1" w:rsidP="00F54F1F">
      <w:pPr>
        <w:spacing w:after="0" w:line="264" w:lineRule="auto"/>
        <w:ind w:left="1985"/>
        <w:rPr>
          <w:rFonts w:ascii="Montserrat" w:hAnsi="Montserrat" w:cstheme="minorHAnsi"/>
          <w:sz w:val="20"/>
          <w:szCs w:val="20"/>
        </w:rPr>
      </w:pPr>
    </w:p>
    <w:p w14:paraId="4E064370" w14:textId="6155EBAA" w:rsidR="004838C1" w:rsidRPr="00C07BE5" w:rsidRDefault="004838C1" w:rsidP="00F54F1F">
      <w:pPr>
        <w:spacing w:after="0" w:line="264" w:lineRule="auto"/>
        <w:ind w:left="1985"/>
        <w:rPr>
          <w:rFonts w:ascii="Montserrat" w:hAnsi="Montserrat" w:cstheme="minorHAnsi"/>
          <w:sz w:val="20"/>
          <w:szCs w:val="20"/>
        </w:rPr>
      </w:pPr>
    </w:p>
    <w:p w14:paraId="03EB9DBB" w14:textId="77777777" w:rsidR="004838C1" w:rsidRPr="00C07BE5" w:rsidRDefault="004838C1" w:rsidP="00F54F1F">
      <w:pPr>
        <w:spacing w:after="0" w:line="264" w:lineRule="auto"/>
        <w:ind w:left="1985"/>
        <w:rPr>
          <w:rFonts w:ascii="Montserrat" w:hAnsi="Montserrat" w:cstheme="minorHAnsi"/>
          <w:sz w:val="20"/>
          <w:szCs w:val="20"/>
        </w:rPr>
      </w:pPr>
    </w:p>
    <w:p w14:paraId="67C6515F" w14:textId="77777777" w:rsidR="00F54F1F" w:rsidRPr="00C07BE5" w:rsidRDefault="00F54F1F" w:rsidP="00F54F1F">
      <w:pPr>
        <w:pStyle w:val="Default"/>
        <w:ind w:left="1985"/>
        <w:rPr>
          <w:lang w:val="hr-HR"/>
        </w:rPr>
      </w:pPr>
    </w:p>
    <w:tbl>
      <w:tblPr>
        <w:tblStyle w:val="LightShading"/>
        <w:tblW w:w="7655" w:type="dxa"/>
        <w:tblInd w:w="1985" w:type="dxa"/>
        <w:tblLook w:val="04A0" w:firstRow="1" w:lastRow="0" w:firstColumn="1" w:lastColumn="0" w:noHBand="0" w:noVBand="1"/>
      </w:tblPr>
      <w:tblGrid>
        <w:gridCol w:w="4537"/>
        <w:gridCol w:w="3118"/>
      </w:tblGrid>
      <w:tr w:rsidR="00F54F1F" w:rsidRPr="00C07BE5" w14:paraId="4F2B5AA5" w14:textId="77777777" w:rsidTr="00876CCD">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4536" w:type="dxa"/>
            <w:tcBorders>
              <w:left w:val="none" w:sz="0" w:space="0" w:color="auto"/>
              <w:right w:val="none" w:sz="0" w:space="0" w:color="auto"/>
            </w:tcBorders>
            <w:tcMar>
              <w:left w:w="0" w:type="dxa"/>
              <w:right w:w="0" w:type="dxa"/>
            </w:tcMar>
            <w:vAlign w:val="center"/>
          </w:tcPr>
          <w:p w14:paraId="3E2C9A94" w14:textId="2E4B91E6" w:rsidR="00F54F1F" w:rsidRPr="00C07BE5" w:rsidRDefault="00F54F1F" w:rsidP="00876CCD">
            <w:pPr>
              <w:rPr>
                <w:rFonts w:cs="Times New Roman"/>
                <w:b w:val="0"/>
                <w:szCs w:val="24"/>
                <w:lang w:val="hr-HR"/>
              </w:rPr>
            </w:pPr>
            <w:bookmarkStart w:id="0" w:name="_Toc480617697"/>
            <w:r w:rsidRPr="00C07BE5">
              <w:rPr>
                <w:rFonts w:cs="Times New Roman"/>
                <w:b w:val="0"/>
                <w:szCs w:val="24"/>
                <w:lang w:val="hr-HR"/>
              </w:rPr>
              <w:t xml:space="preserve">Urbroj: </w:t>
            </w:r>
            <w:bookmarkEnd w:id="0"/>
            <w:r w:rsidR="00D84656">
              <w:rPr>
                <w:rFonts w:cs="Times New Roman"/>
                <w:b w:val="0"/>
                <w:szCs w:val="24"/>
                <w:lang w:val="hr-HR"/>
              </w:rPr>
              <w:t>1-2/24-1-4/1</w:t>
            </w:r>
          </w:p>
        </w:tc>
        <w:tc>
          <w:tcPr>
            <w:tcW w:w="3118" w:type="dxa"/>
            <w:tcBorders>
              <w:left w:val="none" w:sz="0" w:space="0" w:color="auto"/>
              <w:right w:val="none" w:sz="0" w:space="0" w:color="auto"/>
            </w:tcBorders>
            <w:tcMar>
              <w:left w:w="0" w:type="dxa"/>
              <w:right w:w="0" w:type="dxa"/>
            </w:tcMar>
            <w:vAlign w:val="center"/>
          </w:tcPr>
          <w:p w14:paraId="5032FD47" w14:textId="40712653" w:rsidR="00F54F1F" w:rsidRPr="00C07BE5" w:rsidRDefault="00F54F1F" w:rsidP="00876CCD">
            <w:pPr>
              <w:jc w:val="right"/>
              <w:cnfStyle w:val="100000000000" w:firstRow="1" w:lastRow="0" w:firstColumn="0" w:lastColumn="0" w:oddVBand="0" w:evenVBand="0" w:oddHBand="0" w:evenHBand="0" w:firstRowFirstColumn="0" w:firstRowLastColumn="0" w:lastRowFirstColumn="0" w:lastRowLastColumn="0"/>
              <w:rPr>
                <w:rFonts w:cs="Times New Roman"/>
                <w:b w:val="0"/>
                <w:szCs w:val="24"/>
                <w:lang w:val="hr-HR"/>
              </w:rPr>
            </w:pPr>
            <w:bookmarkStart w:id="1" w:name="_Toc480617698"/>
            <w:r w:rsidRPr="00C07BE5">
              <w:rPr>
                <w:rFonts w:cs="Times New Roman"/>
                <w:b w:val="0"/>
                <w:szCs w:val="24"/>
                <w:lang w:val="hr-HR"/>
              </w:rPr>
              <w:t xml:space="preserve">Zagreb, </w:t>
            </w:r>
            <w:r w:rsidR="00CB09BE" w:rsidRPr="00C07BE5">
              <w:rPr>
                <w:rFonts w:cs="Times New Roman"/>
                <w:b w:val="0"/>
                <w:szCs w:val="24"/>
                <w:lang w:val="hr-HR"/>
              </w:rPr>
              <w:t xml:space="preserve">veljača </w:t>
            </w:r>
            <w:r w:rsidRPr="00C07BE5">
              <w:rPr>
                <w:rFonts w:cs="Times New Roman"/>
                <w:b w:val="0"/>
                <w:szCs w:val="24"/>
                <w:lang w:val="hr-HR"/>
              </w:rPr>
              <w:t>202</w:t>
            </w:r>
            <w:r w:rsidR="0045103A" w:rsidRPr="00C07BE5">
              <w:rPr>
                <w:rFonts w:cs="Times New Roman"/>
                <w:b w:val="0"/>
                <w:szCs w:val="24"/>
                <w:lang w:val="hr-HR"/>
              </w:rPr>
              <w:t>4</w:t>
            </w:r>
            <w:r w:rsidRPr="00C07BE5">
              <w:rPr>
                <w:rFonts w:cs="Times New Roman"/>
                <w:b w:val="0"/>
                <w:szCs w:val="24"/>
                <w:lang w:val="hr-HR"/>
              </w:rPr>
              <w:t>.</w:t>
            </w:r>
            <w:bookmarkEnd w:id="1"/>
          </w:p>
        </w:tc>
      </w:tr>
    </w:tbl>
    <w:p w14:paraId="4D413B37" w14:textId="77777777" w:rsidR="00F54F1F" w:rsidRPr="00C07BE5" w:rsidRDefault="00F54F1F" w:rsidP="00F54F1F">
      <w:pPr>
        <w:spacing w:after="0" w:line="264" w:lineRule="auto"/>
        <w:ind w:left="1985" w:right="-6"/>
        <w:rPr>
          <w:rFonts w:ascii="Montserrat" w:hAnsi="Montserrat" w:cstheme="minorHAnsi"/>
          <w:sz w:val="20"/>
          <w:szCs w:val="20"/>
        </w:rPr>
      </w:pPr>
    </w:p>
    <w:p w14:paraId="5A898D90" w14:textId="711B2FF6" w:rsidR="00F54F1F" w:rsidRPr="00C07BE5" w:rsidRDefault="00F54F1F" w:rsidP="00F54F1F">
      <w:pPr>
        <w:jc w:val="left"/>
        <w:rPr>
          <w:rFonts w:ascii="Montserrat" w:hAnsi="Montserrat" w:cstheme="minorHAnsi"/>
          <w:sz w:val="20"/>
          <w:szCs w:val="20"/>
        </w:rPr>
      </w:pPr>
      <w:r w:rsidRPr="00C07BE5">
        <w:rPr>
          <w:rFonts w:ascii="Montserrat" w:hAnsi="Montserrat" w:cstheme="minorHAnsi"/>
          <w:sz w:val="20"/>
          <w:szCs w:val="20"/>
        </w:rPr>
        <w:br w:type="page"/>
      </w:r>
    </w:p>
    <w:p w14:paraId="5591DC3C" w14:textId="5AB43245" w:rsidR="00F82D4F" w:rsidRPr="00C07BE5" w:rsidRDefault="004812D3" w:rsidP="006D0F2B">
      <w:pPr>
        <w:pStyle w:val="Style1"/>
        <w:rPr>
          <w:rFonts w:ascii="Times New Roman" w:hAnsi="Times New Roman" w:cs="Times New Roman"/>
          <w:color w:val="64666C"/>
        </w:rPr>
      </w:pPr>
      <w:r w:rsidRPr="00C07BE5">
        <w:rPr>
          <w:rFonts w:ascii="Times New Roman" w:hAnsi="Times New Roman" w:cs="Times New Roman"/>
          <w:color w:val="64666C"/>
        </w:rPr>
        <w:lastRenderedPageBreak/>
        <w:t>Sadržaj</w:t>
      </w:r>
    </w:p>
    <w:p w14:paraId="7B09C6E2" w14:textId="77777777" w:rsidR="00C07BE5" w:rsidRPr="00C07BE5" w:rsidRDefault="00C07BE5" w:rsidP="006D0F2B">
      <w:pPr>
        <w:pStyle w:val="Style1"/>
        <w:rPr>
          <w:rFonts w:ascii="Times New Roman" w:hAnsi="Times New Roman" w:cs="Times New Roman"/>
          <w:color w:val="64666C"/>
        </w:rPr>
      </w:pPr>
    </w:p>
    <w:p w14:paraId="55CE7320" w14:textId="776642BC" w:rsidR="00C87E1A" w:rsidRDefault="002128A9">
      <w:pPr>
        <w:pStyle w:val="TOC1"/>
        <w:rPr>
          <w:rFonts w:asciiTheme="minorHAnsi" w:hAnsiTheme="minorHAnsi"/>
          <w:noProof/>
          <w:kern w:val="2"/>
          <w:szCs w:val="24"/>
          <w:lang w:eastAsia="hr-HR"/>
          <w14:ligatures w14:val="standardContextual"/>
        </w:rPr>
      </w:pPr>
      <w:r>
        <w:rPr>
          <w:color w:val="64666C"/>
        </w:rPr>
        <w:fldChar w:fldCharType="begin"/>
      </w:r>
      <w:r>
        <w:rPr>
          <w:color w:val="64666C"/>
        </w:rPr>
        <w:instrText xml:space="preserve"> TOC \o "1-3" \u </w:instrText>
      </w:r>
      <w:r>
        <w:rPr>
          <w:color w:val="64666C"/>
        </w:rPr>
        <w:fldChar w:fldCharType="separate"/>
      </w:r>
      <w:r w:rsidR="00C87E1A">
        <w:rPr>
          <w:noProof/>
        </w:rPr>
        <w:t>1</w:t>
      </w:r>
      <w:r w:rsidR="00C87E1A">
        <w:rPr>
          <w:rFonts w:asciiTheme="minorHAnsi" w:hAnsiTheme="minorHAnsi"/>
          <w:noProof/>
          <w:kern w:val="2"/>
          <w:szCs w:val="24"/>
          <w:lang w:eastAsia="hr-HR"/>
          <w14:ligatures w14:val="standardContextual"/>
        </w:rPr>
        <w:tab/>
      </w:r>
      <w:r w:rsidR="00C87E1A">
        <w:rPr>
          <w:noProof/>
        </w:rPr>
        <w:t>Osnovni podaci</w:t>
      </w:r>
      <w:r w:rsidR="00C87E1A">
        <w:rPr>
          <w:noProof/>
        </w:rPr>
        <w:tab/>
      </w:r>
      <w:r w:rsidR="00C87E1A">
        <w:rPr>
          <w:noProof/>
        </w:rPr>
        <w:fldChar w:fldCharType="begin"/>
      </w:r>
      <w:r w:rsidR="00C87E1A">
        <w:rPr>
          <w:noProof/>
        </w:rPr>
        <w:instrText xml:space="preserve"> PAGEREF _Toc158992023 \h </w:instrText>
      </w:r>
      <w:r w:rsidR="00C87E1A">
        <w:rPr>
          <w:noProof/>
        </w:rPr>
      </w:r>
      <w:r w:rsidR="00C87E1A">
        <w:rPr>
          <w:noProof/>
        </w:rPr>
        <w:fldChar w:fldCharType="separate"/>
      </w:r>
      <w:r w:rsidR="00C87E1A">
        <w:rPr>
          <w:noProof/>
        </w:rPr>
        <w:t>3</w:t>
      </w:r>
      <w:r w:rsidR="00C87E1A">
        <w:rPr>
          <w:noProof/>
        </w:rPr>
        <w:fldChar w:fldCharType="end"/>
      </w:r>
    </w:p>
    <w:p w14:paraId="6C2373E1" w14:textId="3E023238" w:rsidR="00C87E1A" w:rsidRDefault="00C87E1A">
      <w:pPr>
        <w:pStyle w:val="TOC1"/>
        <w:rPr>
          <w:rFonts w:asciiTheme="minorHAnsi" w:hAnsiTheme="minorHAnsi"/>
          <w:noProof/>
          <w:kern w:val="2"/>
          <w:szCs w:val="24"/>
          <w:lang w:eastAsia="hr-HR"/>
          <w14:ligatures w14:val="standardContextual"/>
        </w:rPr>
      </w:pPr>
      <w:r>
        <w:rPr>
          <w:noProof/>
        </w:rPr>
        <w:t>2</w:t>
      </w:r>
      <w:r>
        <w:rPr>
          <w:rFonts w:asciiTheme="minorHAnsi" w:hAnsiTheme="minorHAnsi"/>
          <w:noProof/>
          <w:kern w:val="2"/>
          <w:szCs w:val="24"/>
          <w:lang w:eastAsia="hr-HR"/>
          <w14:ligatures w14:val="standardContextual"/>
        </w:rPr>
        <w:tab/>
      </w:r>
      <w:r>
        <w:rPr>
          <w:noProof/>
        </w:rPr>
        <w:t>Ostvarenje programa rada</w:t>
      </w:r>
      <w:r>
        <w:rPr>
          <w:noProof/>
        </w:rPr>
        <w:tab/>
      </w:r>
      <w:r>
        <w:rPr>
          <w:noProof/>
        </w:rPr>
        <w:fldChar w:fldCharType="begin"/>
      </w:r>
      <w:r>
        <w:rPr>
          <w:noProof/>
        </w:rPr>
        <w:instrText xml:space="preserve"> PAGEREF _Toc158992024 \h </w:instrText>
      </w:r>
      <w:r>
        <w:rPr>
          <w:noProof/>
        </w:rPr>
      </w:r>
      <w:r>
        <w:rPr>
          <w:noProof/>
        </w:rPr>
        <w:fldChar w:fldCharType="separate"/>
      </w:r>
      <w:r>
        <w:rPr>
          <w:noProof/>
        </w:rPr>
        <w:t>5</w:t>
      </w:r>
      <w:r>
        <w:rPr>
          <w:noProof/>
        </w:rPr>
        <w:fldChar w:fldCharType="end"/>
      </w:r>
    </w:p>
    <w:p w14:paraId="2721761A" w14:textId="7EEDD74C" w:rsidR="00C87E1A" w:rsidRDefault="00C87E1A">
      <w:pPr>
        <w:pStyle w:val="TOC2"/>
        <w:rPr>
          <w:rFonts w:asciiTheme="minorHAnsi" w:hAnsiTheme="minorHAnsi"/>
          <w:noProof/>
          <w:kern w:val="2"/>
          <w:szCs w:val="24"/>
          <w:lang w:eastAsia="hr-HR"/>
          <w14:ligatures w14:val="standardContextual"/>
        </w:rPr>
      </w:pPr>
      <w:r w:rsidRPr="00195E64">
        <w:rPr>
          <w:rFonts w:cs="Times New Roman"/>
          <w:noProof/>
        </w:rPr>
        <w:t>2.1</w:t>
      </w:r>
      <w:r>
        <w:rPr>
          <w:rFonts w:asciiTheme="minorHAnsi" w:hAnsiTheme="minorHAnsi"/>
          <w:noProof/>
          <w:kern w:val="2"/>
          <w:szCs w:val="24"/>
          <w:lang w:eastAsia="hr-HR"/>
          <w14:ligatures w14:val="standardContextual"/>
        </w:rPr>
        <w:tab/>
      </w:r>
      <w:r w:rsidRPr="00195E64">
        <w:rPr>
          <w:rFonts w:cs="Times New Roman"/>
          <w:noProof/>
        </w:rPr>
        <w:t>Upravljanje financijskom imovinom</w:t>
      </w:r>
      <w:r>
        <w:rPr>
          <w:noProof/>
        </w:rPr>
        <w:tab/>
      </w:r>
      <w:r>
        <w:rPr>
          <w:noProof/>
        </w:rPr>
        <w:fldChar w:fldCharType="begin"/>
      </w:r>
      <w:r>
        <w:rPr>
          <w:noProof/>
        </w:rPr>
        <w:instrText xml:space="preserve"> PAGEREF _Toc158992025 \h </w:instrText>
      </w:r>
      <w:r>
        <w:rPr>
          <w:noProof/>
        </w:rPr>
      </w:r>
      <w:r>
        <w:rPr>
          <w:noProof/>
        </w:rPr>
        <w:fldChar w:fldCharType="separate"/>
      </w:r>
      <w:r>
        <w:rPr>
          <w:noProof/>
        </w:rPr>
        <w:t>5</w:t>
      </w:r>
      <w:r>
        <w:rPr>
          <w:noProof/>
        </w:rPr>
        <w:fldChar w:fldCharType="end"/>
      </w:r>
    </w:p>
    <w:p w14:paraId="49BC848F" w14:textId="4B35D588"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2.1.1</w:t>
      </w:r>
      <w:r>
        <w:rPr>
          <w:rFonts w:asciiTheme="minorHAnsi" w:hAnsiTheme="minorHAnsi"/>
          <w:noProof/>
          <w:kern w:val="2"/>
          <w:szCs w:val="24"/>
          <w:lang w:eastAsia="hr-HR"/>
          <w14:ligatures w14:val="standardContextual"/>
        </w:rPr>
        <w:tab/>
      </w:r>
      <w:r w:rsidRPr="00195E64">
        <w:rPr>
          <w:rFonts w:cs="Times New Roman"/>
          <w:noProof/>
        </w:rPr>
        <w:t>Prikupljanje sredstava</w:t>
      </w:r>
      <w:r>
        <w:rPr>
          <w:noProof/>
        </w:rPr>
        <w:tab/>
      </w:r>
      <w:r>
        <w:rPr>
          <w:noProof/>
        </w:rPr>
        <w:fldChar w:fldCharType="begin"/>
      </w:r>
      <w:r>
        <w:rPr>
          <w:noProof/>
        </w:rPr>
        <w:instrText xml:space="preserve"> PAGEREF _Toc158992026 \h </w:instrText>
      </w:r>
      <w:r>
        <w:rPr>
          <w:noProof/>
        </w:rPr>
      </w:r>
      <w:r>
        <w:rPr>
          <w:noProof/>
        </w:rPr>
        <w:fldChar w:fldCharType="separate"/>
      </w:r>
      <w:r>
        <w:rPr>
          <w:noProof/>
        </w:rPr>
        <w:t>6</w:t>
      </w:r>
      <w:r>
        <w:rPr>
          <w:noProof/>
        </w:rPr>
        <w:fldChar w:fldCharType="end"/>
      </w:r>
    </w:p>
    <w:p w14:paraId="603635DE" w14:textId="5F78B65E"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2.1.2</w:t>
      </w:r>
      <w:r>
        <w:rPr>
          <w:rFonts w:asciiTheme="minorHAnsi" w:hAnsiTheme="minorHAnsi"/>
          <w:noProof/>
          <w:kern w:val="2"/>
          <w:szCs w:val="24"/>
          <w:lang w:eastAsia="hr-HR"/>
          <w14:ligatures w14:val="standardContextual"/>
        </w:rPr>
        <w:tab/>
      </w:r>
      <w:r w:rsidRPr="00195E64">
        <w:rPr>
          <w:rFonts w:cs="Times New Roman"/>
          <w:noProof/>
        </w:rPr>
        <w:t>Investiranje sredstava</w:t>
      </w:r>
      <w:r>
        <w:rPr>
          <w:noProof/>
        </w:rPr>
        <w:tab/>
      </w:r>
      <w:r>
        <w:rPr>
          <w:noProof/>
        </w:rPr>
        <w:fldChar w:fldCharType="begin"/>
      </w:r>
      <w:r>
        <w:rPr>
          <w:noProof/>
        </w:rPr>
        <w:instrText xml:space="preserve"> PAGEREF _Toc158992027 \h </w:instrText>
      </w:r>
      <w:r>
        <w:rPr>
          <w:noProof/>
        </w:rPr>
      </w:r>
      <w:r>
        <w:rPr>
          <w:noProof/>
        </w:rPr>
        <w:fldChar w:fldCharType="separate"/>
      </w:r>
      <w:r>
        <w:rPr>
          <w:noProof/>
        </w:rPr>
        <w:t>6</w:t>
      </w:r>
      <w:r>
        <w:rPr>
          <w:noProof/>
        </w:rPr>
        <w:fldChar w:fldCharType="end"/>
      </w:r>
    </w:p>
    <w:p w14:paraId="1ABD7046" w14:textId="6265D9A1" w:rsidR="00C87E1A" w:rsidRDefault="00C87E1A">
      <w:pPr>
        <w:pStyle w:val="TOC2"/>
        <w:rPr>
          <w:rFonts w:asciiTheme="minorHAnsi" w:hAnsiTheme="minorHAnsi"/>
          <w:noProof/>
          <w:kern w:val="2"/>
          <w:szCs w:val="24"/>
          <w:lang w:eastAsia="hr-HR"/>
          <w14:ligatures w14:val="standardContextual"/>
        </w:rPr>
      </w:pPr>
      <w:r w:rsidRPr="00195E64">
        <w:rPr>
          <w:rFonts w:cs="Times New Roman"/>
          <w:noProof/>
        </w:rPr>
        <w:t>2.2</w:t>
      </w:r>
      <w:r>
        <w:rPr>
          <w:rFonts w:asciiTheme="minorHAnsi" w:hAnsiTheme="minorHAnsi"/>
          <w:noProof/>
          <w:kern w:val="2"/>
          <w:szCs w:val="24"/>
          <w:lang w:eastAsia="hr-HR"/>
          <w14:ligatures w14:val="standardContextual"/>
        </w:rPr>
        <w:tab/>
      </w:r>
      <w:r w:rsidRPr="00195E64">
        <w:rPr>
          <w:rFonts w:cs="Times New Roman"/>
          <w:noProof/>
        </w:rPr>
        <w:t>Zbrinjavanje radioaktivnog otpada</w:t>
      </w:r>
      <w:r>
        <w:rPr>
          <w:noProof/>
        </w:rPr>
        <w:tab/>
      </w:r>
      <w:r>
        <w:rPr>
          <w:noProof/>
        </w:rPr>
        <w:fldChar w:fldCharType="begin"/>
      </w:r>
      <w:r>
        <w:rPr>
          <w:noProof/>
        </w:rPr>
        <w:instrText xml:space="preserve"> PAGEREF _Toc158992028 \h </w:instrText>
      </w:r>
      <w:r>
        <w:rPr>
          <w:noProof/>
        </w:rPr>
      </w:r>
      <w:r>
        <w:rPr>
          <w:noProof/>
        </w:rPr>
        <w:fldChar w:fldCharType="separate"/>
      </w:r>
      <w:r>
        <w:rPr>
          <w:noProof/>
        </w:rPr>
        <w:t>6</w:t>
      </w:r>
      <w:r>
        <w:rPr>
          <w:noProof/>
        </w:rPr>
        <w:fldChar w:fldCharType="end"/>
      </w:r>
    </w:p>
    <w:p w14:paraId="7088F31C" w14:textId="77E4E57E"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2.2.1</w:t>
      </w:r>
      <w:r>
        <w:rPr>
          <w:rFonts w:asciiTheme="minorHAnsi" w:hAnsiTheme="minorHAnsi"/>
          <w:noProof/>
          <w:kern w:val="2"/>
          <w:szCs w:val="24"/>
          <w:lang w:eastAsia="hr-HR"/>
          <w14:ligatures w14:val="standardContextual"/>
        </w:rPr>
        <w:tab/>
      </w:r>
      <w:r w:rsidRPr="00195E64">
        <w:rPr>
          <w:rFonts w:cs="Times New Roman"/>
          <w:noProof/>
        </w:rPr>
        <w:t>Revizija Programa razgradnje NEK-a i Programa odlaganja RAO i ING</w:t>
      </w:r>
      <w:r>
        <w:rPr>
          <w:noProof/>
        </w:rPr>
        <w:tab/>
      </w:r>
      <w:r>
        <w:rPr>
          <w:noProof/>
        </w:rPr>
        <w:fldChar w:fldCharType="begin"/>
      </w:r>
      <w:r>
        <w:rPr>
          <w:noProof/>
        </w:rPr>
        <w:instrText xml:space="preserve"> PAGEREF _Toc158992029 \h </w:instrText>
      </w:r>
      <w:r>
        <w:rPr>
          <w:noProof/>
        </w:rPr>
      </w:r>
      <w:r>
        <w:rPr>
          <w:noProof/>
        </w:rPr>
        <w:fldChar w:fldCharType="separate"/>
      </w:r>
      <w:r>
        <w:rPr>
          <w:noProof/>
        </w:rPr>
        <w:t>6</w:t>
      </w:r>
      <w:r>
        <w:rPr>
          <w:noProof/>
        </w:rPr>
        <w:fldChar w:fldCharType="end"/>
      </w:r>
    </w:p>
    <w:p w14:paraId="50E37687" w14:textId="7F236901"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2.2.2</w:t>
      </w:r>
      <w:r>
        <w:rPr>
          <w:rFonts w:asciiTheme="minorHAnsi" w:hAnsiTheme="minorHAnsi"/>
          <w:noProof/>
          <w:kern w:val="2"/>
          <w:szCs w:val="24"/>
          <w:lang w:eastAsia="hr-HR"/>
          <w14:ligatures w14:val="standardContextual"/>
        </w:rPr>
        <w:tab/>
      </w:r>
      <w:r w:rsidRPr="00195E64">
        <w:rPr>
          <w:rFonts w:cs="Times New Roman"/>
          <w:noProof/>
        </w:rPr>
        <w:t>Provedba Nacionalnog programa i Strategije</w:t>
      </w:r>
      <w:r>
        <w:rPr>
          <w:noProof/>
        </w:rPr>
        <w:tab/>
      </w:r>
      <w:r>
        <w:rPr>
          <w:noProof/>
        </w:rPr>
        <w:fldChar w:fldCharType="begin"/>
      </w:r>
      <w:r>
        <w:rPr>
          <w:noProof/>
        </w:rPr>
        <w:instrText xml:space="preserve"> PAGEREF _Toc158992030 \h </w:instrText>
      </w:r>
      <w:r>
        <w:rPr>
          <w:noProof/>
        </w:rPr>
      </w:r>
      <w:r>
        <w:rPr>
          <w:noProof/>
        </w:rPr>
        <w:fldChar w:fldCharType="separate"/>
      </w:r>
      <w:r>
        <w:rPr>
          <w:noProof/>
        </w:rPr>
        <w:t>7</w:t>
      </w:r>
      <w:r>
        <w:rPr>
          <w:noProof/>
        </w:rPr>
        <w:fldChar w:fldCharType="end"/>
      </w:r>
    </w:p>
    <w:p w14:paraId="4146EE89" w14:textId="2FE6F621"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2.2.3</w:t>
      </w:r>
      <w:r>
        <w:rPr>
          <w:rFonts w:asciiTheme="minorHAnsi" w:hAnsiTheme="minorHAnsi"/>
          <w:noProof/>
          <w:kern w:val="2"/>
          <w:szCs w:val="24"/>
          <w:lang w:eastAsia="hr-HR"/>
          <w14:ligatures w14:val="standardContextual"/>
        </w:rPr>
        <w:tab/>
      </w:r>
      <w:r w:rsidRPr="00195E64">
        <w:rPr>
          <w:rFonts w:cs="Times New Roman"/>
          <w:noProof/>
        </w:rPr>
        <w:t>Uspostava Centra za zbrinjavanje RAO-a</w:t>
      </w:r>
      <w:r>
        <w:rPr>
          <w:noProof/>
        </w:rPr>
        <w:tab/>
      </w:r>
      <w:r>
        <w:rPr>
          <w:noProof/>
        </w:rPr>
        <w:fldChar w:fldCharType="begin"/>
      </w:r>
      <w:r>
        <w:rPr>
          <w:noProof/>
        </w:rPr>
        <w:instrText xml:space="preserve"> PAGEREF _Toc158992031 \h </w:instrText>
      </w:r>
      <w:r>
        <w:rPr>
          <w:noProof/>
        </w:rPr>
      </w:r>
      <w:r>
        <w:rPr>
          <w:noProof/>
        </w:rPr>
        <w:fldChar w:fldCharType="separate"/>
      </w:r>
      <w:r>
        <w:rPr>
          <w:noProof/>
        </w:rPr>
        <w:t>8</w:t>
      </w:r>
      <w:r>
        <w:rPr>
          <w:noProof/>
        </w:rPr>
        <w:fldChar w:fldCharType="end"/>
      </w:r>
    </w:p>
    <w:p w14:paraId="5939E146" w14:textId="195908F3"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2.2.4</w:t>
      </w:r>
      <w:r>
        <w:rPr>
          <w:rFonts w:asciiTheme="minorHAnsi" w:hAnsiTheme="minorHAnsi"/>
          <w:noProof/>
          <w:kern w:val="2"/>
          <w:szCs w:val="24"/>
          <w:lang w:eastAsia="hr-HR"/>
          <w14:ligatures w14:val="standardContextual"/>
        </w:rPr>
        <w:tab/>
      </w:r>
      <w:r w:rsidRPr="00195E64">
        <w:rPr>
          <w:rFonts w:cs="Times New Roman"/>
          <w:noProof/>
        </w:rPr>
        <w:t>Zbrinjavanje radioaktivnog otpada nastalog na području Republike Hrvatske</w:t>
      </w:r>
      <w:r>
        <w:rPr>
          <w:noProof/>
        </w:rPr>
        <w:tab/>
      </w:r>
      <w:r>
        <w:rPr>
          <w:noProof/>
        </w:rPr>
        <w:fldChar w:fldCharType="begin"/>
      </w:r>
      <w:r>
        <w:rPr>
          <w:noProof/>
        </w:rPr>
        <w:instrText xml:space="preserve"> PAGEREF _Toc158992032 \h </w:instrText>
      </w:r>
      <w:r>
        <w:rPr>
          <w:noProof/>
        </w:rPr>
      </w:r>
      <w:r>
        <w:rPr>
          <w:noProof/>
        </w:rPr>
        <w:fldChar w:fldCharType="separate"/>
      </w:r>
      <w:r>
        <w:rPr>
          <w:noProof/>
        </w:rPr>
        <w:t>9</w:t>
      </w:r>
      <w:r>
        <w:rPr>
          <w:noProof/>
        </w:rPr>
        <w:fldChar w:fldCharType="end"/>
      </w:r>
    </w:p>
    <w:p w14:paraId="1C841CAA" w14:textId="0353A47F"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2.2.5</w:t>
      </w:r>
      <w:r>
        <w:rPr>
          <w:rFonts w:asciiTheme="minorHAnsi" w:hAnsiTheme="minorHAnsi"/>
          <w:noProof/>
          <w:kern w:val="2"/>
          <w:szCs w:val="24"/>
          <w:lang w:eastAsia="hr-HR"/>
          <w14:ligatures w14:val="standardContextual"/>
        </w:rPr>
        <w:tab/>
      </w:r>
      <w:r w:rsidRPr="00195E64">
        <w:rPr>
          <w:rFonts w:cs="Times New Roman"/>
          <w:noProof/>
        </w:rPr>
        <w:t>Preuzimanje NSRAO-a iz NE Krško</w:t>
      </w:r>
      <w:r>
        <w:rPr>
          <w:noProof/>
        </w:rPr>
        <w:tab/>
      </w:r>
      <w:r>
        <w:rPr>
          <w:noProof/>
        </w:rPr>
        <w:fldChar w:fldCharType="begin"/>
      </w:r>
      <w:r>
        <w:rPr>
          <w:noProof/>
        </w:rPr>
        <w:instrText xml:space="preserve"> PAGEREF _Toc158992033 \h </w:instrText>
      </w:r>
      <w:r>
        <w:rPr>
          <w:noProof/>
        </w:rPr>
      </w:r>
      <w:r>
        <w:rPr>
          <w:noProof/>
        </w:rPr>
        <w:fldChar w:fldCharType="separate"/>
      </w:r>
      <w:r>
        <w:rPr>
          <w:noProof/>
        </w:rPr>
        <w:t>9</w:t>
      </w:r>
      <w:r>
        <w:rPr>
          <w:noProof/>
        </w:rPr>
        <w:fldChar w:fldCharType="end"/>
      </w:r>
    </w:p>
    <w:p w14:paraId="134C5E42" w14:textId="2198987D"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2.2.6</w:t>
      </w:r>
      <w:r>
        <w:rPr>
          <w:rFonts w:asciiTheme="minorHAnsi" w:hAnsiTheme="minorHAnsi"/>
          <w:noProof/>
          <w:kern w:val="2"/>
          <w:szCs w:val="24"/>
          <w:lang w:eastAsia="hr-HR"/>
          <w14:ligatures w14:val="standardContextual"/>
        </w:rPr>
        <w:tab/>
      </w:r>
      <w:r w:rsidRPr="00195E64">
        <w:rPr>
          <w:rFonts w:cs="Times New Roman"/>
          <w:noProof/>
        </w:rPr>
        <w:t>Domaća i međunarodna stručna suradnja</w:t>
      </w:r>
      <w:r>
        <w:rPr>
          <w:noProof/>
        </w:rPr>
        <w:tab/>
      </w:r>
      <w:r>
        <w:rPr>
          <w:noProof/>
        </w:rPr>
        <w:fldChar w:fldCharType="begin"/>
      </w:r>
      <w:r>
        <w:rPr>
          <w:noProof/>
        </w:rPr>
        <w:instrText xml:space="preserve"> PAGEREF _Toc158992034 \h </w:instrText>
      </w:r>
      <w:r>
        <w:rPr>
          <w:noProof/>
        </w:rPr>
      </w:r>
      <w:r>
        <w:rPr>
          <w:noProof/>
        </w:rPr>
        <w:fldChar w:fldCharType="separate"/>
      </w:r>
      <w:r>
        <w:rPr>
          <w:noProof/>
        </w:rPr>
        <w:t>10</w:t>
      </w:r>
      <w:r>
        <w:rPr>
          <w:noProof/>
        </w:rPr>
        <w:fldChar w:fldCharType="end"/>
      </w:r>
    </w:p>
    <w:p w14:paraId="73C8BBCD" w14:textId="196D4105" w:rsidR="00C87E1A" w:rsidRDefault="00C87E1A">
      <w:pPr>
        <w:pStyle w:val="TOC2"/>
        <w:rPr>
          <w:rFonts w:asciiTheme="minorHAnsi" w:hAnsiTheme="minorHAnsi"/>
          <w:noProof/>
          <w:kern w:val="2"/>
          <w:szCs w:val="24"/>
          <w:lang w:eastAsia="hr-HR"/>
          <w14:ligatures w14:val="standardContextual"/>
        </w:rPr>
      </w:pPr>
      <w:r w:rsidRPr="00195E64">
        <w:rPr>
          <w:rFonts w:cs="Times New Roman"/>
          <w:noProof/>
        </w:rPr>
        <w:t>2.3</w:t>
      </w:r>
      <w:r>
        <w:rPr>
          <w:rFonts w:asciiTheme="minorHAnsi" w:hAnsiTheme="minorHAnsi"/>
          <w:noProof/>
          <w:kern w:val="2"/>
          <w:szCs w:val="24"/>
          <w:lang w:eastAsia="hr-HR"/>
          <w14:ligatures w14:val="standardContextual"/>
        </w:rPr>
        <w:tab/>
      </w:r>
      <w:r w:rsidRPr="00195E64">
        <w:rPr>
          <w:rFonts w:cs="Times New Roman"/>
          <w:noProof/>
        </w:rPr>
        <w:t>Odnosi s javnošću</w:t>
      </w:r>
      <w:r>
        <w:rPr>
          <w:noProof/>
        </w:rPr>
        <w:tab/>
      </w:r>
      <w:r>
        <w:rPr>
          <w:noProof/>
        </w:rPr>
        <w:fldChar w:fldCharType="begin"/>
      </w:r>
      <w:r>
        <w:rPr>
          <w:noProof/>
        </w:rPr>
        <w:instrText xml:space="preserve"> PAGEREF _Toc158992035 \h </w:instrText>
      </w:r>
      <w:r>
        <w:rPr>
          <w:noProof/>
        </w:rPr>
      </w:r>
      <w:r>
        <w:rPr>
          <w:noProof/>
        </w:rPr>
        <w:fldChar w:fldCharType="separate"/>
      </w:r>
      <w:r>
        <w:rPr>
          <w:noProof/>
        </w:rPr>
        <w:t>11</w:t>
      </w:r>
      <w:r>
        <w:rPr>
          <w:noProof/>
        </w:rPr>
        <w:fldChar w:fldCharType="end"/>
      </w:r>
    </w:p>
    <w:p w14:paraId="76D99FA8" w14:textId="52B53A3F"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2.3.1</w:t>
      </w:r>
      <w:r>
        <w:rPr>
          <w:rFonts w:asciiTheme="minorHAnsi" w:hAnsiTheme="minorHAnsi"/>
          <w:noProof/>
          <w:kern w:val="2"/>
          <w:szCs w:val="24"/>
          <w:lang w:eastAsia="hr-HR"/>
          <w14:ligatures w14:val="standardContextual"/>
        </w:rPr>
        <w:tab/>
      </w:r>
      <w:r w:rsidRPr="00195E64">
        <w:rPr>
          <w:rFonts w:cs="Times New Roman"/>
          <w:noProof/>
        </w:rPr>
        <w:t>Socijalno-gospodarski aspekti razvoja lokalne zajednice</w:t>
      </w:r>
      <w:r>
        <w:rPr>
          <w:noProof/>
        </w:rPr>
        <w:tab/>
      </w:r>
      <w:r>
        <w:rPr>
          <w:noProof/>
        </w:rPr>
        <w:fldChar w:fldCharType="begin"/>
      </w:r>
      <w:r>
        <w:rPr>
          <w:noProof/>
        </w:rPr>
        <w:instrText xml:space="preserve"> PAGEREF _Toc158992036 \h </w:instrText>
      </w:r>
      <w:r>
        <w:rPr>
          <w:noProof/>
        </w:rPr>
      </w:r>
      <w:r>
        <w:rPr>
          <w:noProof/>
        </w:rPr>
        <w:fldChar w:fldCharType="separate"/>
      </w:r>
      <w:r>
        <w:rPr>
          <w:noProof/>
        </w:rPr>
        <w:t>11</w:t>
      </w:r>
      <w:r>
        <w:rPr>
          <w:noProof/>
        </w:rPr>
        <w:fldChar w:fldCharType="end"/>
      </w:r>
    </w:p>
    <w:p w14:paraId="15CED75C" w14:textId="3820214A"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2.3.2</w:t>
      </w:r>
      <w:r>
        <w:rPr>
          <w:rFonts w:asciiTheme="minorHAnsi" w:hAnsiTheme="minorHAnsi"/>
          <w:noProof/>
          <w:kern w:val="2"/>
          <w:szCs w:val="24"/>
          <w:lang w:eastAsia="hr-HR"/>
          <w14:ligatures w14:val="standardContextual"/>
        </w:rPr>
        <w:tab/>
      </w:r>
      <w:r w:rsidRPr="00195E64">
        <w:rPr>
          <w:rFonts w:cs="Times New Roman"/>
          <w:noProof/>
        </w:rPr>
        <w:t>Promotivne i informativno-edukativne aktivnosti</w:t>
      </w:r>
      <w:r>
        <w:rPr>
          <w:noProof/>
        </w:rPr>
        <w:tab/>
      </w:r>
      <w:r>
        <w:rPr>
          <w:noProof/>
        </w:rPr>
        <w:fldChar w:fldCharType="begin"/>
      </w:r>
      <w:r>
        <w:rPr>
          <w:noProof/>
        </w:rPr>
        <w:instrText xml:space="preserve"> PAGEREF _Toc158992037 \h </w:instrText>
      </w:r>
      <w:r>
        <w:rPr>
          <w:noProof/>
        </w:rPr>
      </w:r>
      <w:r>
        <w:rPr>
          <w:noProof/>
        </w:rPr>
        <w:fldChar w:fldCharType="separate"/>
      </w:r>
      <w:r>
        <w:rPr>
          <w:noProof/>
        </w:rPr>
        <w:t>11</w:t>
      </w:r>
      <w:r>
        <w:rPr>
          <w:noProof/>
        </w:rPr>
        <w:fldChar w:fldCharType="end"/>
      </w:r>
    </w:p>
    <w:p w14:paraId="3B28AA7B" w14:textId="7923F0F0"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2.3.3</w:t>
      </w:r>
      <w:r>
        <w:rPr>
          <w:rFonts w:asciiTheme="minorHAnsi" w:hAnsiTheme="minorHAnsi"/>
          <w:noProof/>
          <w:kern w:val="2"/>
          <w:szCs w:val="24"/>
          <w:lang w:eastAsia="hr-HR"/>
          <w14:ligatures w14:val="standardContextual"/>
        </w:rPr>
        <w:tab/>
      </w:r>
      <w:r w:rsidRPr="00195E64">
        <w:rPr>
          <w:rFonts w:cs="Times New Roman"/>
          <w:noProof/>
        </w:rPr>
        <w:t>Info centri</w:t>
      </w:r>
      <w:r>
        <w:rPr>
          <w:noProof/>
        </w:rPr>
        <w:tab/>
      </w:r>
      <w:r>
        <w:rPr>
          <w:noProof/>
        </w:rPr>
        <w:fldChar w:fldCharType="begin"/>
      </w:r>
      <w:r>
        <w:rPr>
          <w:noProof/>
        </w:rPr>
        <w:instrText xml:space="preserve"> PAGEREF _Toc158992038 \h </w:instrText>
      </w:r>
      <w:r>
        <w:rPr>
          <w:noProof/>
        </w:rPr>
      </w:r>
      <w:r>
        <w:rPr>
          <w:noProof/>
        </w:rPr>
        <w:fldChar w:fldCharType="separate"/>
      </w:r>
      <w:r>
        <w:rPr>
          <w:noProof/>
        </w:rPr>
        <w:t>12</w:t>
      </w:r>
      <w:r>
        <w:rPr>
          <w:noProof/>
        </w:rPr>
        <w:fldChar w:fldCharType="end"/>
      </w:r>
    </w:p>
    <w:p w14:paraId="22210428" w14:textId="7332FD6E"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2.3.4</w:t>
      </w:r>
      <w:r>
        <w:rPr>
          <w:rFonts w:asciiTheme="minorHAnsi" w:hAnsiTheme="minorHAnsi"/>
          <w:noProof/>
          <w:kern w:val="2"/>
          <w:szCs w:val="24"/>
          <w:lang w:eastAsia="hr-HR"/>
          <w14:ligatures w14:val="standardContextual"/>
        </w:rPr>
        <w:tab/>
      </w:r>
      <w:r w:rsidRPr="00195E64">
        <w:rPr>
          <w:rFonts w:cs="Times New Roman"/>
          <w:noProof/>
        </w:rPr>
        <w:t>Praćenje i analiza medija</w:t>
      </w:r>
      <w:r>
        <w:rPr>
          <w:noProof/>
        </w:rPr>
        <w:tab/>
      </w:r>
      <w:r>
        <w:rPr>
          <w:noProof/>
        </w:rPr>
        <w:fldChar w:fldCharType="begin"/>
      </w:r>
      <w:r>
        <w:rPr>
          <w:noProof/>
        </w:rPr>
        <w:instrText xml:space="preserve"> PAGEREF _Toc158992039 \h </w:instrText>
      </w:r>
      <w:r>
        <w:rPr>
          <w:noProof/>
        </w:rPr>
      </w:r>
      <w:r>
        <w:rPr>
          <w:noProof/>
        </w:rPr>
        <w:fldChar w:fldCharType="separate"/>
      </w:r>
      <w:r>
        <w:rPr>
          <w:noProof/>
        </w:rPr>
        <w:t>13</w:t>
      </w:r>
      <w:r>
        <w:rPr>
          <w:noProof/>
        </w:rPr>
        <w:fldChar w:fldCharType="end"/>
      </w:r>
    </w:p>
    <w:p w14:paraId="67A93358" w14:textId="183224E1" w:rsidR="00C87E1A" w:rsidRDefault="00C87E1A">
      <w:pPr>
        <w:pStyle w:val="TOC3"/>
        <w:rPr>
          <w:rFonts w:asciiTheme="minorHAnsi" w:hAnsiTheme="minorHAnsi"/>
          <w:noProof/>
          <w:kern w:val="2"/>
          <w:szCs w:val="24"/>
          <w:lang w:eastAsia="hr-HR"/>
          <w14:ligatures w14:val="standardContextual"/>
        </w:rPr>
      </w:pPr>
      <w:r w:rsidRPr="00195E64">
        <w:rPr>
          <w:rFonts w:cs="Times New Roman"/>
          <w:noProof/>
        </w:rPr>
        <w:t>2.3.5</w:t>
      </w:r>
      <w:r>
        <w:rPr>
          <w:rFonts w:asciiTheme="minorHAnsi" w:hAnsiTheme="minorHAnsi"/>
          <w:noProof/>
          <w:kern w:val="2"/>
          <w:szCs w:val="24"/>
          <w:lang w:eastAsia="hr-HR"/>
          <w14:ligatures w14:val="standardContextual"/>
        </w:rPr>
        <w:tab/>
      </w:r>
      <w:r w:rsidRPr="00195E64">
        <w:rPr>
          <w:rFonts w:cs="Times New Roman"/>
          <w:noProof/>
        </w:rPr>
        <w:t>Suradnja s BiH</w:t>
      </w:r>
      <w:r>
        <w:rPr>
          <w:noProof/>
        </w:rPr>
        <w:tab/>
      </w:r>
      <w:r>
        <w:rPr>
          <w:noProof/>
        </w:rPr>
        <w:fldChar w:fldCharType="begin"/>
      </w:r>
      <w:r>
        <w:rPr>
          <w:noProof/>
        </w:rPr>
        <w:instrText xml:space="preserve"> PAGEREF _Toc158992040 \h </w:instrText>
      </w:r>
      <w:r>
        <w:rPr>
          <w:noProof/>
        </w:rPr>
      </w:r>
      <w:r>
        <w:rPr>
          <w:noProof/>
        </w:rPr>
        <w:fldChar w:fldCharType="separate"/>
      </w:r>
      <w:r>
        <w:rPr>
          <w:noProof/>
        </w:rPr>
        <w:t>13</w:t>
      </w:r>
      <w:r>
        <w:rPr>
          <w:noProof/>
        </w:rPr>
        <w:fldChar w:fldCharType="end"/>
      </w:r>
    </w:p>
    <w:p w14:paraId="61239560" w14:textId="13605DD1" w:rsidR="00C87E1A" w:rsidRDefault="00C87E1A">
      <w:pPr>
        <w:pStyle w:val="TOC2"/>
        <w:rPr>
          <w:rFonts w:asciiTheme="minorHAnsi" w:hAnsiTheme="minorHAnsi"/>
          <w:noProof/>
          <w:kern w:val="2"/>
          <w:szCs w:val="24"/>
          <w:lang w:eastAsia="hr-HR"/>
          <w14:ligatures w14:val="standardContextual"/>
        </w:rPr>
      </w:pPr>
      <w:r w:rsidRPr="00195E64">
        <w:rPr>
          <w:rFonts w:cs="Times New Roman"/>
          <w:noProof/>
        </w:rPr>
        <w:t>2.4</w:t>
      </w:r>
      <w:r>
        <w:rPr>
          <w:rFonts w:asciiTheme="minorHAnsi" w:hAnsiTheme="minorHAnsi"/>
          <w:noProof/>
          <w:kern w:val="2"/>
          <w:szCs w:val="24"/>
          <w:lang w:eastAsia="hr-HR"/>
          <w14:ligatures w14:val="standardContextual"/>
        </w:rPr>
        <w:tab/>
      </w:r>
      <w:r w:rsidRPr="00195E64">
        <w:rPr>
          <w:rFonts w:cs="Times New Roman"/>
          <w:noProof/>
        </w:rPr>
        <w:t>Ostali poslovi Fonda</w:t>
      </w:r>
      <w:r>
        <w:rPr>
          <w:noProof/>
        </w:rPr>
        <w:tab/>
      </w:r>
      <w:r>
        <w:rPr>
          <w:noProof/>
        </w:rPr>
        <w:fldChar w:fldCharType="begin"/>
      </w:r>
      <w:r>
        <w:rPr>
          <w:noProof/>
        </w:rPr>
        <w:instrText xml:space="preserve"> PAGEREF _Toc158992041 \h </w:instrText>
      </w:r>
      <w:r>
        <w:rPr>
          <w:noProof/>
        </w:rPr>
      </w:r>
      <w:r>
        <w:rPr>
          <w:noProof/>
        </w:rPr>
        <w:fldChar w:fldCharType="separate"/>
      </w:r>
      <w:r>
        <w:rPr>
          <w:noProof/>
        </w:rPr>
        <w:t>13</w:t>
      </w:r>
      <w:r>
        <w:rPr>
          <w:noProof/>
        </w:rPr>
        <w:fldChar w:fldCharType="end"/>
      </w:r>
    </w:p>
    <w:p w14:paraId="2D267EFC" w14:textId="6F566484" w:rsidR="00C87E1A" w:rsidRDefault="00C87E1A">
      <w:pPr>
        <w:pStyle w:val="TOC1"/>
        <w:rPr>
          <w:rFonts w:asciiTheme="minorHAnsi" w:hAnsiTheme="minorHAnsi"/>
          <w:noProof/>
          <w:kern w:val="2"/>
          <w:szCs w:val="24"/>
          <w:lang w:eastAsia="hr-HR"/>
          <w14:ligatures w14:val="standardContextual"/>
        </w:rPr>
      </w:pPr>
      <w:r>
        <w:rPr>
          <w:noProof/>
        </w:rPr>
        <w:t>3</w:t>
      </w:r>
      <w:r>
        <w:rPr>
          <w:rFonts w:asciiTheme="minorHAnsi" w:hAnsiTheme="minorHAnsi"/>
          <w:noProof/>
          <w:kern w:val="2"/>
          <w:szCs w:val="24"/>
          <w:lang w:eastAsia="hr-HR"/>
          <w14:ligatures w14:val="standardContextual"/>
        </w:rPr>
        <w:tab/>
      </w:r>
      <w:r>
        <w:rPr>
          <w:noProof/>
        </w:rPr>
        <w:t>Financijski pokazatelji</w:t>
      </w:r>
      <w:r>
        <w:rPr>
          <w:noProof/>
        </w:rPr>
        <w:tab/>
      </w:r>
      <w:r>
        <w:rPr>
          <w:noProof/>
        </w:rPr>
        <w:fldChar w:fldCharType="begin"/>
      </w:r>
      <w:r>
        <w:rPr>
          <w:noProof/>
        </w:rPr>
        <w:instrText xml:space="preserve"> PAGEREF _Toc158992042 \h </w:instrText>
      </w:r>
      <w:r>
        <w:rPr>
          <w:noProof/>
        </w:rPr>
      </w:r>
      <w:r>
        <w:rPr>
          <w:noProof/>
        </w:rPr>
        <w:fldChar w:fldCharType="separate"/>
      </w:r>
      <w:r>
        <w:rPr>
          <w:noProof/>
        </w:rPr>
        <w:t>15</w:t>
      </w:r>
      <w:r>
        <w:rPr>
          <w:noProof/>
        </w:rPr>
        <w:fldChar w:fldCharType="end"/>
      </w:r>
    </w:p>
    <w:p w14:paraId="38E24DBB" w14:textId="6DA3C750" w:rsidR="00C87E1A" w:rsidRDefault="00C87E1A">
      <w:pPr>
        <w:pStyle w:val="TOC2"/>
        <w:rPr>
          <w:rFonts w:asciiTheme="minorHAnsi" w:hAnsiTheme="minorHAnsi"/>
          <w:noProof/>
          <w:kern w:val="2"/>
          <w:szCs w:val="24"/>
          <w:lang w:eastAsia="hr-HR"/>
          <w14:ligatures w14:val="standardContextual"/>
        </w:rPr>
      </w:pPr>
      <w:r w:rsidRPr="00195E64">
        <w:rPr>
          <w:rFonts w:cs="Times New Roman"/>
          <w:noProof/>
        </w:rPr>
        <w:t>3.1</w:t>
      </w:r>
      <w:r>
        <w:rPr>
          <w:rFonts w:asciiTheme="minorHAnsi" w:hAnsiTheme="minorHAnsi"/>
          <w:noProof/>
          <w:kern w:val="2"/>
          <w:szCs w:val="24"/>
          <w:lang w:eastAsia="hr-HR"/>
          <w14:ligatures w14:val="standardContextual"/>
        </w:rPr>
        <w:tab/>
      </w:r>
      <w:r w:rsidRPr="00195E64">
        <w:rPr>
          <w:rFonts w:cs="Times New Roman"/>
          <w:noProof/>
        </w:rPr>
        <w:t>Financijski prihodi i rashodi</w:t>
      </w:r>
      <w:r>
        <w:rPr>
          <w:noProof/>
        </w:rPr>
        <w:tab/>
      </w:r>
      <w:r>
        <w:rPr>
          <w:noProof/>
        </w:rPr>
        <w:fldChar w:fldCharType="begin"/>
      </w:r>
      <w:r>
        <w:rPr>
          <w:noProof/>
        </w:rPr>
        <w:instrText xml:space="preserve"> PAGEREF _Toc158992043 \h </w:instrText>
      </w:r>
      <w:r>
        <w:rPr>
          <w:noProof/>
        </w:rPr>
      </w:r>
      <w:r>
        <w:rPr>
          <w:noProof/>
        </w:rPr>
        <w:fldChar w:fldCharType="separate"/>
      </w:r>
      <w:r>
        <w:rPr>
          <w:noProof/>
        </w:rPr>
        <w:t>15</w:t>
      </w:r>
      <w:r>
        <w:rPr>
          <w:noProof/>
        </w:rPr>
        <w:fldChar w:fldCharType="end"/>
      </w:r>
    </w:p>
    <w:p w14:paraId="5CCCE403" w14:textId="48E2BD99" w:rsidR="00C87E1A" w:rsidRDefault="00C87E1A">
      <w:pPr>
        <w:pStyle w:val="TOC2"/>
        <w:rPr>
          <w:rFonts w:asciiTheme="minorHAnsi" w:hAnsiTheme="minorHAnsi"/>
          <w:noProof/>
          <w:kern w:val="2"/>
          <w:szCs w:val="24"/>
          <w:lang w:eastAsia="hr-HR"/>
          <w14:ligatures w14:val="standardContextual"/>
        </w:rPr>
      </w:pPr>
      <w:r w:rsidRPr="00195E64">
        <w:rPr>
          <w:rFonts w:cs="Times New Roman"/>
          <w:noProof/>
        </w:rPr>
        <w:t>3.2</w:t>
      </w:r>
      <w:r>
        <w:rPr>
          <w:rFonts w:asciiTheme="minorHAnsi" w:hAnsiTheme="minorHAnsi"/>
          <w:noProof/>
          <w:kern w:val="2"/>
          <w:szCs w:val="24"/>
          <w:lang w:eastAsia="hr-HR"/>
          <w14:ligatures w14:val="standardContextual"/>
        </w:rPr>
        <w:tab/>
      </w:r>
      <w:r w:rsidRPr="00195E64">
        <w:rPr>
          <w:rFonts w:cs="Times New Roman"/>
          <w:noProof/>
        </w:rPr>
        <w:t>RAO i ostali rashodi</w:t>
      </w:r>
      <w:r>
        <w:rPr>
          <w:noProof/>
        </w:rPr>
        <w:tab/>
      </w:r>
      <w:r>
        <w:rPr>
          <w:noProof/>
        </w:rPr>
        <w:fldChar w:fldCharType="begin"/>
      </w:r>
      <w:r>
        <w:rPr>
          <w:noProof/>
        </w:rPr>
        <w:instrText xml:space="preserve"> PAGEREF _Toc158992044 \h </w:instrText>
      </w:r>
      <w:r>
        <w:rPr>
          <w:noProof/>
        </w:rPr>
      </w:r>
      <w:r>
        <w:rPr>
          <w:noProof/>
        </w:rPr>
        <w:fldChar w:fldCharType="separate"/>
      </w:r>
      <w:r>
        <w:rPr>
          <w:noProof/>
        </w:rPr>
        <w:t>16</w:t>
      </w:r>
      <w:r>
        <w:rPr>
          <w:noProof/>
        </w:rPr>
        <w:fldChar w:fldCharType="end"/>
      </w:r>
    </w:p>
    <w:p w14:paraId="3B542234" w14:textId="0EE91DFC" w:rsidR="00C87E1A" w:rsidRDefault="00C87E1A">
      <w:pPr>
        <w:pStyle w:val="TOC2"/>
        <w:rPr>
          <w:rFonts w:asciiTheme="minorHAnsi" w:hAnsiTheme="minorHAnsi"/>
          <w:noProof/>
          <w:kern w:val="2"/>
          <w:szCs w:val="24"/>
          <w:lang w:eastAsia="hr-HR"/>
          <w14:ligatures w14:val="standardContextual"/>
        </w:rPr>
      </w:pPr>
      <w:r w:rsidRPr="00195E64">
        <w:rPr>
          <w:rFonts w:cs="Times New Roman"/>
          <w:noProof/>
        </w:rPr>
        <w:t>3.3</w:t>
      </w:r>
      <w:r>
        <w:rPr>
          <w:rFonts w:asciiTheme="minorHAnsi" w:hAnsiTheme="minorHAnsi"/>
          <w:noProof/>
          <w:kern w:val="2"/>
          <w:szCs w:val="24"/>
          <w:lang w:eastAsia="hr-HR"/>
          <w14:ligatures w14:val="standardContextual"/>
        </w:rPr>
        <w:tab/>
      </w:r>
      <w:r w:rsidRPr="00195E64">
        <w:rPr>
          <w:rFonts w:cs="Times New Roman"/>
          <w:noProof/>
        </w:rPr>
        <w:t>Neto rezultat poslovanja</w:t>
      </w:r>
      <w:r>
        <w:rPr>
          <w:noProof/>
        </w:rPr>
        <w:tab/>
      </w:r>
      <w:r>
        <w:rPr>
          <w:noProof/>
        </w:rPr>
        <w:fldChar w:fldCharType="begin"/>
      </w:r>
      <w:r>
        <w:rPr>
          <w:noProof/>
        </w:rPr>
        <w:instrText xml:space="preserve"> PAGEREF _Toc158992045 \h </w:instrText>
      </w:r>
      <w:r>
        <w:rPr>
          <w:noProof/>
        </w:rPr>
      </w:r>
      <w:r>
        <w:rPr>
          <w:noProof/>
        </w:rPr>
        <w:fldChar w:fldCharType="separate"/>
      </w:r>
      <w:r>
        <w:rPr>
          <w:noProof/>
        </w:rPr>
        <w:t>18</w:t>
      </w:r>
      <w:r>
        <w:rPr>
          <w:noProof/>
        </w:rPr>
        <w:fldChar w:fldCharType="end"/>
      </w:r>
    </w:p>
    <w:p w14:paraId="25B0F9F0" w14:textId="45AF7C19" w:rsidR="00C87E1A" w:rsidRDefault="00C87E1A">
      <w:pPr>
        <w:pStyle w:val="TOC2"/>
        <w:rPr>
          <w:rFonts w:asciiTheme="minorHAnsi" w:hAnsiTheme="minorHAnsi"/>
          <w:noProof/>
          <w:kern w:val="2"/>
          <w:szCs w:val="24"/>
          <w:lang w:eastAsia="hr-HR"/>
          <w14:ligatures w14:val="standardContextual"/>
        </w:rPr>
      </w:pPr>
      <w:r w:rsidRPr="00195E64">
        <w:rPr>
          <w:rFonts w:cs="Times New Roman"/>
          <w:noProof/>
        </w:rPr>
        <w:t>3.4</w:t>
      </w:r>
      <w:r>
        <w:rPr>
          <w:rFonts w:asciiTheme="minorHAnsi" w:hAnsiTheme="minorHAnsi"/>
          <w:noProof/>
          <w:kern w:val="2"/>
          <w:szCs w:val="24"/>
          <w:lang w:eastAsia="hr-HR"/>
          <w14:ligatures w14:val="standardContextual"/>
        </w:rPr>
        <w:tab/>
      </w:r>
      <w:r w:rsidRPr="00195E64">
        <w:rPr>
          <w:rFonts w:cs="Times New Roman"/>
          <w:noProof/>
        </w:rPr>
        <w:t>Bilanca stanja i neto imovina</w:t>
      </w:r>
      <w:r>
        <w:rPr>
          <w:noProof/>
        </w:rPr>
        <w:tab/>
      </w:r>
      <w:r>
        <w:rPr>
          <w:noProof/>
        </w:rPr>
        <w:fldChar w:fldCharType="begin"/>
      </w:r>
      <w:r>
        <w:rPr>
          <w:noProof/>
        </w:rPr>
        <w:instrText xml:space="preserve"> PAGEREF _Toc158992046 \h </w:instrText>
      </w:r>
      <w:r>
        <w:rPr>
          <w:noProof/>
        </w:rPr>
      </w:r>
      <w:r>
        <w:rPr>
          <w:noProof/>
        </w:rPr>
        <w:fldChar w:fldCharType="separate"/>
      </w:r>
      <w:r>
        <w:rPr>
          <w:noProof/>
        </w:rPr>
        <w:t>19</w:t>
      </w:r>
      <w:r>
        <w:rPr>
          <w:noProof/>
        </w:rPr>
        <w:fldChar w:fldCharType="end"/>
      </w:r>
    </w:p>
    <w:p w14:paraId="117125E3" w14:textId="4F4133A4" w:rsidR="00C87E1A" w:rsidRDefault="00C87E1A">
      <w:pPr>
        <w:pStyle w:val="TOC1"/>
        <w:rPr>
          <w:rFonts w:asciiTheme="minorHAnsi" w:hAnsiTheme="minorHAnsi"/>
          <w:noProof/>
          <w:kern w:val="2"/>
          <w:szCs w:val="24"/>
          <w:lang w:eastAsia="hr-HR"/>
          <w14:ligatures w14:val="standardContextual"/>
        </w:rPr>
      </w:pPr>
      <w:r>
        <w:rPr>
          <w:noProof/>
        </w:rPr>
        <w:t>4</w:t>
      </w:r>
      <w:r>
        <w:rPr>
          <w:rFonts w:asciiTheme="minorHAnsi" w:hAnsiTheme="minorHAnsi"/>
          <w:noProof/>
          <w:kern w:val="2"/>
          <w:szCs w:val="24"/>
          <w:lang w:eastAsia="hr-HR"/>
          <w14:ligatures w14:val="standardContextual"/>
        </w:rPr>
        <w:tab/>
      </w:r>
      <w:r>
        <w:rPr>
          <w:noProof/>
        </w:rPr>
        <w:t>Zaključak</w:t>
      </w:r>
      <w:r>
        <w:rPr>
          <w:noProof/>
        </w:rPr>
        <w:tab/>
      </w:r>
      <w:r>
        <w:rPr>
          <w:noProof/>
        </w:rPr>
        <w:fldChar w:fldCharType="begin"/>
      </w:r>
      <w:r>
        <w:rPr>
          <w:noProof/>
        </w:rPr>
        <w:instrText xml:space="preserve"> PAGEREF _Toc158992047 \h </w:instrText>
      </w:r>
      <w:r>
        <w:rPr>
          <w:noProof/>
        </w:rPr>
      </w:r>
      <w:r>
        <w:rPr>
          <w:noProof/>
        </w:rPr>
        <w:fldChar w:fldCharType="separate"/>
      </w:r>
      <w:r>
        <w:rPr>
          <w:noProof/>
        </w:rPr>
        <w:t>21</w:t>
      </w:r>
      <w:r>
        <w:rPr>
          <w:noProof/>
        </w:rPr>
        <w:fldChar w:fldCharType="end"/>
      </w:r>
    </w:p>
    <w:p w14:paraId="3CC723B2" w14:textId="4F625911" w:rsidR="00C87E1A" w:rsidRDefault="00C87E1A">
      <w:pPr>
        <w:pStyle w:val="TOC1"/>
        <w:rPr>
          <w:rFonts w:asciiTheme="minorHAnsi" w:hAnsiTheme="minorHAnsi"/>
          <w:noProof/>
          <w:kern w:val="2"/>
          <w:szCs w:val="24"/>
          <w:lang w:eastAsia="hr-HR"/>
          <w14:ligatures w14:val="standardContextual"/>
        </w:rPr>
      </w:pPr>
      <w:r>
        <w:rPr>
          <w:noProof/>
        </w:rPr>
        <w:t>5</w:t>
      </w:r>
      <w:r>
        <w:rPr>
          <w:rFonts w:asciiTheme="minorHAnsi" w:hAnsiTheme="minorHAnsi"/>
          <w:noProof/>
          <w:kern w:val="2"/>
          <w:szCs w:val="24"/>
          <w:lang w:eastAsia="hr-HR"/>
          <w14:ligatures w14:val="standardContextual"/>
        </w:rPr>
        <w:tab/>
      </w:r>
      <w:r>
        <w:rPr>
          <w:noProof/>
        </w:rPr>
        <w:t>Dodatak I – Pregled ulaganja u financijsku imovinu</w:t>
      </w:r>
      <w:r>
        <w:rPr>
          <w:noProof/>
        </w:rPr>
        <w:tab/>
      </w:r>
      <w:r>
        <w:rPr>
          <w:noProof/>
        </w:rPr>
        <w:fldChar w:fldCharType="begin"/>
      </w:r>
      <w:r>
        <w:rPr>
          <w:noProof/>
        </w:rPr>
        <w:instrText xml:space="preserve"> PAGEREF _Toc158992048 \h </w:instrText>
      </w:r>
      <w:r>
        <w:rPr>
          <w:noProof/>
        </w:rPr>
      </w:r>
      <w:r>
        <w:rPr>
          <w:noProof/>
        </w:rPr>
        <w:fldChar w:fldCharType="separate"/>
      </w:r>
      <w:r>
        <w:rPr>
          <w:noProof/>
        </w:rPr>
        <w:t>23</w:t>
      </w:r>
      <w:r>
        <w:rPr>
          <w:noProof/>
        </w:rPr>
        <w:fldChar w:fldCharType="end"/>
      </w:r>
    </w:p>
    <w:p w14:paraId="3EB14047" w14:textId="6D9223D3" w:rsidR="00C87E1A" w:rsidRDefault="00C87E1A">
      <w:pPr>
        <w:pStyle w:val="TOC1"/>
        <w:rPr>
          <w:rFonts w:asciiTheme="minorHAnsi" w:hAnsiTheme="minorHAnsi"/>
          <w:noProof/>
          <w:kern w:val="2"/>
          <w:szCs w:val="24"/>
          <w:lang w:eastAsia="hr-HR"/>
          <w14:ligatures w14:val="standardContextual"/>
        </w:rPr>
      </w:pPr>
      <w:r>
        <w:rPr>
          <w:noProof/>
        </w:rPr>
        <w:t>6</w:t>
      </w:r>
      <w:r>
        <w:rPr>
          <w:rFonts w:asciiTheme="minorHAnsi" w:hAnsiTheme="minorHAnsi"/>
          <w:noProof/>
          <w:kern w:val="2"/>
          <w:szCs w:val="24"/>
          <w:lang w:eastAsia="hr-HR"/>
          <w14:ligatures w14:val="standardContextual"/>
        </w:rPr>
        <w:tab/>
      </w:r>
      <w:r>
        <w:rPr>
          <w:noProof/>
        </w:rPr>
        <w:t>Dodatak II – popis kratica</w:t>
      </w:r>
      <w:r>
        <w:rPr>
          <w:noProof/>
        </w:rPr>
        <w:tab/>
      </w:r>
      <w:r>
        <w:rPr>
          <w:noProof/>
        </w:rPr>
        <w:fldChar w:fldCharType="begin"/>
      </w:r>
      <w:r>
        <w:rPr>
          <w:noProof/>
        </w:rPr>
        <w:instrText xml:space="preserve"> PAGEREF _Toc158992049 \h </w:instrText>
      </w:r>
      <w:r>
        <w:rPr>
          <w:noProof/>
        </w:rPr>
      </w:r>
      <w:r>
        <w:rPr>
          <w:noProof/>
        </w:rPr>
        <w:fldChar w:fldCharType="separate"/>
      </w:r>
      <w:r>
        <w:rPr>
          <w:noProof/>
        </w:rPr>
        <w:t>26</w:t>
      </w:r>
      <w:r>
        <w:rPr>
          <w:noProof/>
        </w:rPr>
        <w:fldChar w:fldCharType="end"/>
      </w:r>
    </w:p>
    <w:p w14:paraId="30FBAAC0" w14:textId="089787D4" w:rsidR="00C87E1A" w:rsidRDefault="00C87E1A">
      <w:pPr>
        <w:pStyle w:val="TOC1"/>
        <w:rPr>
          <w:rFonts w:asciiTheme="minorHAnsi" w:hAnsiTheme="minorHAnsi"/>
          <w:noProof/>
          <w:kern w:val="2"/>
          <w:szCs w:val="24"/>
          <w:lang w:eastAsia="hr-HR"/>
          <w14:ligatures w14:val="standardContextual"/>
        </w:rPr>
      </w:pPr>
      <w:r>
        <w:rPr>
          <w:noProof/>
        </w:rPr>
        <w:t>7</w:t>
      </w:r>
      <w:r>
        <w:rPr>
          <w:rFonts w:asciiTheme="minorHAnsi" w:hAnsiTheme="minorHAnsi"/>
          <w:noProof/>
          <w:kern w:val="2"/>
          <w:szCs w:val="24"/>
          <w:lang w:eastAsia="hr-HR"/>
          <w14:ligatures w14:val="standardContextual"/>
        </w:rPr>
        <w:tab/>
      </w:r>
      <w:r>
        <w:rPr>
          <w:noProof/>
        </w:rPr>
        <w:t>Dodatak III – popis tablica i grafikona</w:t>
      </w:r>
      <w:r>
        <w:rPr>
          <w:noProof/>
        </w:rPr>
        <w:tab/>
      </w:r>
      <w:r>
        <w:rPr>
          <w:noProof/>
        </w:rPr>
        <w:fldChar w:fldCharType="begin"/>
      </w:r>
      <w:r>
        <w:rPr>
          <w:noProof/>
        </w:rPr>
        <w:instrText xml:space="preserve"> PAGEREF _Toc158992050 \h </w:instrText>
      </w:r>
      <w:r>
        <w:rPr>
          <w:noProof/>
        </w:rPr>
      </w:r>
      <w:r>
        <w:rPr>
          <w:noProof/>
        </w:rPr>
        <w:fldChar w:fldCharType="separate"/>
      </w:r>
      <w:r>
        <w:rPr>
          <w:noProof/>
        </w:rPr>
        <w:t>28</w:t>
      </w:r>
      <w:r>
        <w:rPr>
          <w:noProof/>
        </w:rPr>
        <w:fldChar w:fldCharType="end"/>
      </w:r>
    </w:p>
    <w:p w14:paraId="2D79D62E" w14:textId="41D2621D" w:rsidR="00852D18" w:rsidRPr="00C07BE5" w:rsidRDefault="002128A9" w:rsidP="00F67134">
      <w:pPr>
        <w:tabs>
          <w:tab w:val="right" w:leader="dot" w:pos="9498"/>
        </w:tabs>
        <w:jc w:val="left"/>
        <w:rPr>
          <w:rFonts w:cs="Times New Roman"/>
          <w:color w:val="64666C"/>
          <w:szCs w:val="24"/>
        </w:rPr>
      </w:pPr>
      <w:r>
        <w:rPr>
          <w:color w:val="64666C"/>
          <w:szCs w:val="20"/>
        </w:rPr>
        <w:fldChar w:fldCharType="end"/>
      </w:r>
    </w:p>
    <w:p w14:paraId="3111345B" w14:textId="631CF9CC" w:rsidR="00552CC5" w:rsidRPr="00C07BE5" w:rsidRDefault="001C1104" w:rsidP="00FD64F2">
      <w:pPr>
        <w:spacing w:after="160" w:line="360" w:lineRule="auto"/>
        <w:jc w:val="left"/>
        <w:rPr>
          <w:rFonts w:ascii="Montserrat" w:hAnsi="Montserrat" w:cstheme="minorHAnsi"/>
        </w:rPr>
      </w:pPr>
      <w:r w:rsidRPr="00C07BE5">
        <w:rPr>
          <w:rFonts w:ascii="Montserrat" w:hAnsi="Montserrat" w:cstheme="minorHAnsi"/>
        </w:rPr>
        <w:br w:type="page"/>
      </w:r>
    </w:p>
    <w:p w14:paraId="25BE37F8" w14:textId="32052492" w:rsidR="00E40966" w:rsidRPr="00C07BE5" w:rsidRDefault="00FE4DE2" w:rsidP="001C1104">
      <w:pPr>
        <w:pStyle w:val="Heading1"/>
      </w:pPr>
      <w:bookmarkStart w:id="2" w:name="_Toc158992023"/>
      <w:r w:rsidRPr="00C07BE5">
        <w:lastRenderedPageBreak/>
        <w:t>Osnovni podaci</w:t>
      </w:r>
      <w:bookmarkEnd w:id="2"/>
    </w:p>
    <w:p w14:paraId="48D82E56" w14:textId="77777777" w:rsidR="00FE4DE2" w:rsidRPr="00C07BE5" w:rsidRDefault="00FE4DE2" w:rsidP="00FE4DE2">
      <w:pPr>
        <w:spacing w:after="0"/>
        <w:ind w:left="2118" w:hanging="1692"/>
        <w:rPr>
          <w:rFonts w:cs="Times New Roman"/>
          <w:szCs w:val="24"/>
        </w:rPr>
      </w:pPr>
      <w:r w:rsidRPr="00C07BE5">
        <w:rPr>
          <w:rFonts w:cs="Times New Roman"/>
          <w:b/>
          <w:bCs/>
          <w:szCs w:val="24"/>
        </w:rPr>
        <w:t>Puni naziv</w:t>
      </w:r>
      <w:r w:rsidRPr="00C07BE5">
        <w:rPr>
          <w:rFonts w:cs="Times New Roman"/>
          <w:szCs w:val="24"/>
        </w:rPr>
        <w:t>:</w:t>
      </w:r>
      <w:r w:rsidRPr="00C07BE5">
        <w:rPr>
          <w:rFonts w:cs="Times New Roman"/>
          <w:b/>
          <w:bCs/>
          <w:szCs w:val="24"/>
        </w:rPr>
        <w:tab/>
      </w:r>
      <w:r w:rsidRPr="00C07BE5">
        <w:rPr>
          <w:rFonts w:cs="Times New Roman"/>
          <w:szCs w:val="24"/>
        </w:rPr>
        <w:t>Fond za financiranje razgradnje i zbrinjavanja radioaktivnog otpada i istrošenoga nuklearnog goriva Nuklearne elektrane Krško</w:t>
      </w:r>
    </w:p>
    <w:p w14:paraId="28767A47" w14:textId="77777777" w:rsidR="00FE4DE2" w:rsidRPr="00C07BE5" w:rsidRDefault="00FE4DE2" w:rsidP="00FE4DE2">
      <w:pPr>
        <w:spacing w:after="0"/>
        <w:ind w:left="2118" w:hanging="1692"/>
        <w:rPr>
          <w:rFonts w:cs="Times New Roman"/>
          <w:b/>
          <w:bCs/>
          <w:szCs w:val="24"/>
        </w:rPr>
      </w:pPr>
    </w:p>
    <w:p w14:paraId="643DB1E2" w14:textId="77777777" w:rsidR="00FE4DE2" w:rsidRPr="00C07BE5" w:rsidRDefault="00FE4DE2" w:rsidP="00FE4DE2">
      <w:pPr>
        <w:spacing w:after="0"/>
        <w:ind w:left="2118" w:hanging="1692"/>
        <w:rPr>
          <w:rFonts w:cs="Times New Roman"/>
          <w:b/>
          <w:bCs/>
          <w:szCs w:val="24"/>
        </w:rPr>
      </w:pPr>
      <w:r w:rsidRPr="00C07BE5">
        <w:rPr>
          <w:rFonts w:cs="Times New Roman"/>
          <w:b/>
          <w:bCs/>
          <w:szCs w:val="24"/>
        </w:rPr>
        <w:t xml:space="preserve">Skraćeni naziv: </w:t>
      </w:r>
      <w:r w:rsidRPr="00C07BE5">
        <w:rPr>
          <w:rFonts w:cs="Times New Roman"/>
          <w:szCs w:val="24"/>
        </w:rPr>
        <w:t>Fond za financiranje razgradnje NEK</w:t>
      </w:r>
    </w:p>
    <w:p w14:paraId="2DDE1EDE" w14:textId="77777777" w:rsidR="00FE4DE2" w:rsidRPr="00C07BE5" w:rsidRDefault="00FE4DE2" w:rsidP="00FE4DE2">
      <w:pPr>
        <w:spacing w:after="0"/>
        <w:rPr>
          <w:rFonts w:cs="Times New Roman"/>
          <w:b/>
          <w:bCs/>
          <w:szCs w:val="24"/>
        </w:rPr>
      </w:pPr>
    </w:p>
    <w:p w14:paraId="3D52F67A" w14:textId="77777777" w:rsidR="00FE4DE2" w:rsidRPr="00C07BE5" w:rsidRDefault="00FE4DE2" w:rsidP="00FE4DE2">
      <w:pPr>
        <w:spacing w:after="0"/>
        <w:ind w:firstLine="432"/>
        <w:rPr>
          <w:rFonts w:cs="Times New Roman"/>
          <w:szCs w:val="24"/>
        </w:rPr>
      </w:pPr>
      <w:r w:rsidRPr="00C07BE5">
        <w:rPr>
          <w:rFonts w:cs="Times New Roman"/>
          <w:b/>
          <w:bCs/>
          <w:szCs w:val="24"/>
        </w:rPr>
        <w:t>Adresa</w:t>
      </w:r>
      <w:r w:rsidRPr="00C07BE5">
        <w:rPr>
          <w:rFonts w:cs="Times New Roman"/>
          <w:szCs w:val="24"/>
        </w:rPr>
        <w:t>: Ulica Vjekoslava Heinzela 70a, 10000 Zagreb</w:t>
      </w:r>
    </w:p>
    <w:p w14:paraId="32C67944" w14:textId="77777777" w:rsidR="00FE4DE2" w:rsidRPr="00C07BE5" w:rsidRDefault="00FE4DE2" w:rsidP="00FE4DE2">
      <w:pPr>
        <w:spacing w:after="0"/>
        <w:ind w:firstLine="432"/>
        <w:rPr>
          <w:rFonts w:cs="Times New Roman"/>
          <w:szCs w:val="24"/>
        </w:rPr>
      </w:pPr>
      <w:r w:rsidRPr="00C07BE5">
        <w:rPr>
          <w:rFonts w:cs="Times New Roman"/>
          <w:b/>
          <w:bCs/>
          <w:szCs w:val="24"/>
        </w:rPr>
        <w:t>E-mail</w:t>
      </w:r>
      <w:r w:rsidRPr="00C07BE5">
        <w:rPr>
          <w:rFonts w:cs="Times New Roman"/>
          <w:szCs w:val="24"/>
        </w:rPr>
        <w:t xml:space="preserve">: </w:t>
      </w:r>
      <w:hyperlink r:id="rId12" w:history="1">
        <w:r w:rsidRPr="00C07BE5">
          <w:rPr>
            <w:rStyle w:val="Hyperlink"/>
            <w:rFonts w:cs="Times New Roman"/>
            <w:color w:val="000000" w:themeColor="text1"/>
            <w:szCs w:val="24"/>
          </w:rPr>
          <w:t>info@fond-nek.hr</w:t>
        </w:r>
      </w:hyperlink>
    </w:p>
    <w:p w14:paraId="03270278" w14:textId="77777777" w:rsidR="00FE4DE2" w:rsidRPr="00C07BE5" w:rsidRDefault="00FE4DE2" w:rsidP="00FE4DE2">
      <w:pPr>
        <w:spacing w:after="0"/>
        <w:ind w:firstLine="432"/>
        <w:rPr>
          <w:rFonts w:cs="Times New Roman"/>
          <w:szCs w:val="24"/>
        </w:rPr>
      </w:pPr>
      <w:r w:rsidRPr="00C07BE5">
        <w:rPr>
          <w:rFonts w:cs="Times New Roman"/>
          <w:b/>
          <w:bCs/>
          <w:szCs w:val="24"/>
        </w:rPr>
        <w:t>Internet adresa</w:t>
      </w:r>
      <w:r w:rsidRPr="00C07BE5">
        <w:rPr>
          <w:rFonts w:cs="Times New Roman"/>
          <w:szCs w:val="24"/>
        </w:rPr>
        <w:t xml:space="preserve">: www.fond-nek.hr </w:t>
      </w:r>
    </w:p>
    <w:p w14:paraId="0A966421" w14:textId="77777777" w:rsidR="00FE4DE2" w:rsidRPr="00C07BE5" w:rsidRDefault="00FE4DE2" w:rsidP="00FE4DE2">
      <w:pPr>
        <w:spacing w:after="0"/>
        <w:ind w:firstLine="432"/>
        <w:rPr>
          <w:rFonts w:cs="Times New Roman"/>
          <w:szCs w:val="24"/>
        </w:rPr>
      </w:pPr>
      <w:r w:rsidRPr="00C07BE5">
        <w:rPr>
          <w:rFonts w:cs="Times New Roman"/>
          <w:b/>
          <w:bCs/>
          <w:szCs w:val="24"/>
        </w:rPr>
        <w:t>OIB</w:t>
      </w:r>
      <w:r w:rsidRPr="00C07BE5">
        <w:rPr>
          <w:rFonts w:cs="Times New Roman"/>
          <w:szCs w:val="24"/>
        </w:rPr>
        <w:t xml:space="preserve"> 22388237533</w:t>
      </w:r>
    </w:p>
    <w:p w14:paraId="468BF1C0" w14:textId="77777777" w:rsidR="00FE4DE2" w:rsidRPr="00C07BE5" w:rsidRDefault="00FE4DE2" w:rsidP="00FE4DE2">
      <w:pPr>
        <w:spacing w:after="0"/>
        <w:ind w:firstLine="432"/>
        <w:rPr>
          <w:rFonts w:cs="Times New Roman"/>
          <w:szCs w:val="24"/>
        </w:rPr>
      </w:pPr>
      <w:r w:rsidRPr="00C07BE5">
        <w:rPr>
          <w:rFonts w:cs="Times New Roman"/>
          <w:b/>
          <w:bCs/>
          <w:szCs w:val="24"/>
        </w:rPr>
        <w:t>MBS</w:t>
      </w:r>
      <w:r w:rsidRPr="00C07BE5">
        <w:rPr>
          <w:rFonts w:cs="Times New Roman"/>
          <w:szCs w:val="24"/>
        </w:rPr>
        <w:t xml:space="preserve"> 80645483</w:t>
      </w:r>
    </w:p>
    <w:p w14:paraId="01C62038" w14:textId="77777777" w:rsidR="00FE4DE2" w:rsidRPr="00C07BE5" w:rsidRDefault="00FE4DE2" w:rsidP="00FE4DE2">
      <w:pPr>
        <w:spacing w:after="0"/>
        <w:ind w:firstLine="432"/>
        <w:rPr>
          <w:rFonts w:cs="Times New Roman"/>
          <w:szCs w:val="24"/>
        </w:rPr>
      </w:pPr>
      <w:r w:rsidRPr="00C07BE5">
        <w:rPr>
          <w:rFonts w:cs="Times New Roman"/>
          <w:b/>
          <w:bCs/>
          <w:szCs w:val="24"/>
        </w:rPr>
        <w:t>T.</w:t>
      </w:r>
      <w:r w:rsidRPr="00C07BE5">
        <w:rPr>
          <w:rFonts w:cs="Times New Roman"/>
          <w:szCs w:val="24"/>
        </w:rPr>
        <w:t xml:space="preserve"> +385 1 3090 700,  </w:t>
      </w:r>
      <w:r w:rsidRPr="00C07BE5">
        <w:rPr>
          <w:rFonts w:cs="Times New Roman"/>
          <w:b/>
          <w:bCs/>
          <w:szCs w:val="24"/>
        </w:rPr>
        <w:t>F</w:t>
      </w:r>
      <w:r w:rsidRPr="00C07BE5">
        <w:rPr>
          <w:rFonts w:cs="Times New Roman"/>
          <w:szCs w:val="24"/>
        </w:rPr>
        <w:t>. +385 1 3090 710</w:t>
      </w:r>
    </w:p>
    <w:p w14:paraId="28CEC7DB" w14:textId="77777777" w:rsidR="00FE4DE2" w:rsidRPr="00C07BE5" w:rsidRDefault="00FE4DE2" w:rsidP="00FE4DE2">
      <w:pPr>
        <w:spacing w:after="0"/>
        <w:ind w:firstLine="432"/>
        <w:rPr>
          <w:rFonts w:cs="Times New Roman"/>
          <w:szCs w:val="24"/>
        </w:rPr>
      </w:pPr>
    </w:p>
    <w:p w14:paraId="1FD5E94A" w14:textId="77777777" w:rsidR="00FE4DE2" w:rsidRPr="00C07BE5" w:rsidRDefault="00FE4DE2" w:rsidP="00FE4DE2">
      <w:pPr>
        <w:spacing w:after="0"/>
        <w:ind w:firstLine="432"/>
        <w:rPr>
          <w:rFonts w:cs="Times New Roman"/>
          <w:szCs w:val="24"/>
        </w:rPr>
      </w:pPr>
      <w:r w:rsidRPr="00C07BE5">
        <w:rPr>
          <w:rFonts w:cs="Times New Roman"/>
          <w:b/>
          <w:bCs/>
          <w:szCs w:val="24"/>
        </w:rPr>
        <w:t>Direktor</w:t>
      </w:r>
      <w:r w:rsidRPr="00C07BE5">
        <w:rPr>
          <w:rFonts w:cs="Times New Roman"/>
          <w:szCs w:val="24"/>
        </w:rPr>
        <w:t>: Josip Lebegner</w:t>
      </w:r>
    </w:p>
    <w:p w14:paraId="6C63865C" w14:textId="77777777" w:rsidR="00FE4DE2" w:rsidRPr="00C07BE5" w:rsidRDefault="00FE4DE2" w:rsidP="00FE4DE2">
      <w:pPr>
        <w:spacing w:after="0"/>
        <w:ind w:firstLine="432"/>
        <w:rPr>
          <w:rFonts w:cs="Times New Roman"/>
          <w:szCs w:val="24"/>
        </w:rPr>
      </w:pPr>
      <w:r w:rsidRPr="00C07BE5">
        <w:rPr>
          <w:rFonts w:cs="Times New Roman"/>
          <w:b/>
          <w:bCs/>
          <w:szCs w:val="24"/>
        </w:rPr>
        <w:t>Osnivač</w:t>
      </w:r>
      <w:r w:rsidRPr="00C07BE5">
        <w:rPr>
          <w:rFonts w:cs="Times New Roman"/>
          <w:szCs w:val="24"/>
        </w:rPr>
        <w:t>: Republika Hrvatska</w:t>
      </w:r>
    </w:p>
    <w:p w14:paraId="41266664" w14:textId="77777777" w:rsidR="00FE4DE2" w:rsidRPr="00C07BE5" w:rsidRDefault="00FE4DE2" w:rsidP="00FE4DE2">
      <w:pPr>
        <w:spacing w:after="0"/>
        <w:ind w:firstLine="432"/>
        <w:rPr>
          <w:rFonts w:cs="Times New Roman"/>
          <w:szCs w:val="24"/>
        </w:rPr>
      </w:pPr>
      <w:r w:rsidRPr="00C07BE5">
        <w:rPr>
          <w:rFonts w:cs="Times New Roman"/>
          <w:b/>
          <w:bCs/>
          <w:szCs w:val="24"/>
        </w:rPr>
        <w:t>Pravni status</w:t>
      </w:r>
      <w:r w:rsidRPr="00C07BE5">
        <w:rPr>
          <w:rFonts w:cs="Times New Roman"/>
          <w:szCs w:val="24"/>
        </w:rPr>
        <w:t xml:space="preserve">: Pravna osoba s javnim ovlastima </w:t>
      </w:r>
    </w:p>
    <w:p w14:paraId="7932E49D" w14:textId="77777777" w:rsidR="00FE4DE2" w:rsidRPr="00C07BE5" w:rsidRDefault="00FE4DE2" w:rsidP="00FE4DE2">
      <w:pPr>
        <w:spacing w:after="0"/>
        <w:ind w:firstLine="432"/>
        <w:rPr>
          <w:rFonts w:cs="Times New Roman"/>
          <w:szCs w:val="24"/>
        </w:rPr>
      </w:pPr>
      <w:r w:rsidRPr="00C07BE5">
        <w:rPr>
          <w:rFonts w:cs="Times New Roman"/>
          <w:b/>
          <w:bCs/>
          <w:szCs w:val="24"/>
        </w:rPr>
        <w:t>Djelatnost</w:t>
      </w:r>
      <w:r w:rsidRPr="00C07BE5">
        <w:rPr>
          <w:rFonts w:cs="Times New Roman"/>
          <w:szCs w:val="24"/>
        </w:rPr>
        <w:t>: Obrada i zbrinjavanje opasnog otpada</w:t>
      </w:r>
    </w:p>
    <w:p w14:paraId="30795685" w14:textId="77777777" w:rsidR="00FE4DE2" w:rsidRPr="00C07BE5" w:rsidRDefault="00FE4DE2" w:rsidP="00FE4DE2">
      <w:pPr>
        <w:spacing w:after="0"/>
        <w:ind w:firstLine="432"/>
        <w:rPr>
          <w:rFonts w:cs="Times New Roman"/>
          <w:szCs w:val="24"/>
        </w:rPr>
      </w:pPr>
    </w:p>
    <w:p w14:paraId="39F8ECFB" w14:textId="77777777" w:rsidR="00FE4DE2" w:rsidRPr="00C07BE5" w:rsidRDefault="00FE4DE2" w:rsidP="00FE4DE2">
      <w:pPr>
        <w:spacing w:after="0"/>
        <w:ind w:firstLine="432"/>
        <w:rPr>
          <w:rFonts w:cs="Times New Roman"/>
          <w:szCs w:val="24"/>
        </w:rPr>
      </w:pPr>
      <w:r w:rsidRPr="00C07BE5">
        <w:rPr>
          <w:rFonts w:cs="Times New Roman"/>
          <w:b/>
          <w:bCs/>
          <w:szCs w:val="24"/>
        </w:rPr>
        <w:t>Predmet poslovanja</w:t>
      </w:r>
      <w:r w:rsidRPr="00C07BE5">
        <w:rPr>
          <w:rFonts w:cs="Times New Roman"/>
          <w:szCs w:val="24"/>
        </w:rPr>
        <w:t xml:space="preserve">: </w:t>
      </w:r>
    </w:p>
    <w:p w14:paraId="1DA829A9" w14:textId="77777777" w:rsidR="00FE4DE2" w:rsidRPr="00C07BE5" w:rsidRDefault="00FE4DE2" w:rsidP="00FE4DE2">
      <w:pPr>
        <w:pStyle w:val="ListParagraph"/>
        <w:numPr>
          <w:ilvl w:val="0"/>
          <w:numId w:val="25"/>
        </w:numPr>
        <w:spacing w:after="120"/>
        <w:ind w:left="1151" w:right="0" w:hanging="357"/>
        <w:contextualSpacing w:val="0"/>
        <w:rPr>
          <w:rFonts w:cs="Times New Roman"/>
          <w:szCs w:val="24"/>
        </w:rPr>
      </w:pPr>
      <w:r w:rsidRPr="00C07BE5">
        <w:rPr>
          <w:rFonts w:cs="Times New Roman"/>
          <w:szCs w:val="24"/>
        </w:rPr>
        <w:t>poslovi prikupljanja, očuvanja i povećanja vrijednosti sredstava za financiranje svih djelatnosti povezanih s razgradnjom Nuklearne elektrane Krško (NE Krško) te  zbrinjavanjem radioaktivnog otpada (dalje: RAO) i istrošenog nuklearnog goriva (dalje: ING) nastalih tijekom pogona i razgradnje NE Krško</w:t>
      </w:r>
    </w:p>
    <w:p w14:paraId="5752EF04" w14:textId="77777777" w:rsidR="00FE4DE2" w:rsidRPr="00C07BE5" w:rsidRDefault="00FE4DE2" w:rsidP="00FE4DE2">
      <w:pPr>
        <w:pStyle w:val="ListParagraph"/>
        <w:numPr>
          <w:ilvl w:val="0"/>
          <w:numId w:val="25"/>
        </w:numPr>
        <w:spacing w:after="120"/>
        <w:ind w:left="1151" w:right="0" w:hanging="357"/>
        <w:contextualSpacing w:val="0"/>
        <w:rPr>
          <w:rFonts w:cs="Times New Roman"/>
          <w:szCs w:val="24"/>
        </w:rPr>
      </w:pPr>
      <w:r w:rsidRPr="00C07BE5">
        <w:rPr>
          <w:rFonts w:cs="Times New Roman"/>
          <w:szCs w:val="24"/>
        </w:rPr>
        <w:t>poslovi pripreme, izrade, revizije i provedbe Programa razgradnje i Programa odlaganja RAO i ING iz NE Krško</w:t>
      </w:r>
    </w:p>
    <w:p w14:paraId="23A85641" w14:textId="77777777" w:rsidR="00FE4DE2" w:rsidRPr="00C07BE5" w:rsidRDefault="00FE4DE2" w:rsidP="00FE4DE2">
      <w:pPr>
        <w:pStyle w:val="ListParagraph"/>
        <w:numPr>
          <w:ilvl w:val="0"/>
          <w:numId w:val="25"/>
        </w:numPr>
        <w:spacing w:after="120"/>
        <w:ind w:left="1151" w:right="0" w:hanging="357"/>
        <w:contextualSpacing w:val="0"/>
        <w:rPr>
          <w:rFonts w:cs="Times New Roman"/>
          <w:szCs w:val="24"/>
        </w:rPr>
      </w:pPr>
      <w:r w:rsidRPr="00C07BE5">
        <w:rPr>
          <w:rFonts w:cs="Times New Roman"/>
          <w:szCs w:val="24"/>
        </w:rPr>
        <w:t xml:space="preserve">poslovi u vezi sa zbrinjavanjem radioaktivnog otpada u postrojenjima za predobradu, obradu, kondicioniranje, rukovanje, dugoročno skladištenje i odlaganje RAO i iskorištenih izvora nastalih na teritoriju Republike Hrvatske i  radom NE Krško </w:t>
      </w:r>
    </w:p>
    <w:p w14:paraId="0C01C160" w14:textId="77777777" w:rsidR="00FE4DE2" w:rsidRPr="00C07BE5" w:rsidRDefault="00FE4DE2" w:rsidP="00FE4DE2">
      <w:pPr>
        <w:pStyle w:val="ListParagraph"/>
        <w:numPr>
          <w:ilvl w:val="0"/>
          <w:numId w:val="25"/>
        </w:numPr>
        <w:spacing w:after="120"/>
        <w:ind w:left="1151" w:right="0" w:hanging="357"/>
        <w:contextualSpacing w:val="0"/>
        <w:rPr>
          <w:rFonts w:cs="Times New Roman"/>
          <w:szCs w:val="24"/>
        </w:rPr>
      </w:pPr>
      <w:r w:rsidRPr="00C07BE5">
        <w:rPr>
          <w:rFonts w:cs="Times New Roman"/>
          <w:szCs w:val="24"/>
        </w:rPr>
        <w:t>vođenje evidencije o raspoloživim materijalnim i financijskim sredstvima, financijskim sredstvima potrebnim za zbrinjavanje RAO, ING te iskorištenih izvora, obveznicima plaćanja naknada za zbrinjavanje i zaprimljenim naknadama</w:t>
      </w:r>
    </w:p>
    <w:p w14:paraId="3A643779" w14:textId="77777777" w:rsidR="00FE4DE2" w:rsidRPr="00C07BE5" w:rsidRDefault="00FE4DE2" w:rsidP="00FE4DE2">
      <w:pPr>
        <w:pStyle w:val="ListParagraph"/>
        <w:numPr>
          <w:ilvl w:val="0"/>
          <w:numId w:val="25"/>
        </w:numPr>
        <w:spacing w:after="120"/>
        <w:ind w:left="1151" w:right="0" w:hanging="357"/>
        <w:contextualSpacing w:val="0"/>
        <w:rPr>
          <w:rFonts w:cs="Times New Roman"/>
          <w:szCs w:val="24"/>
        </w:rPr>
      </w:pPr>
      <w:r w:rsidRPr="00C07BE5">
        <w:rPr>
          <w:rFonts w:cs="Times New Roman"/>
          <w:szCs w:val="24"/>
        </w:rPr>
        <w:t>obavljanje ostalih poslova vezanih za djelatnosti zbrinjavanja RAO, ING te iskorištenih izvora sukladno odredbama zakona kojim se uređuje radiološka i nuklearna sigurnost</w:t>
      </w:r>
    </w:p>
    <w:p w14:paraId="31B0EE41" w14:textId="77777777" w:rsidR="00FE4DE2" w:rsidRPr="00C07BE5" w:rsidRDefault="00FE4DE2" w:rsidP="00FE4DE2">
      <w:pPr>
        <w:pStyle w:val="ListParagraph"/>
        <w:numPr>
          <w:ilvl w:val="0"/>
          <w:numId w:val="25"/>
        </w:numPr>
        <w:spacing w:after="120"/>
        <w:ind w:left="1151" w:right="0" w:hanging="357"/>
        <w:contextualSpacing w:val="0"/>
        <w:rPr>
          <w:rFonts w:cs="Times New Roman"/>
          <w:szCs w:val="24"/>
        </w:rPr>
      </w:pPr>
      <w:r w:rsidRPr="00C07BE5">
        <w:rPr>
          <w:rFonts w:cs="Times New Roman"/>
          <w:szCs w:val="24"/>
        </w:rPr>
        <w:t>obavljanje stručnih i drugih poslove u svezi s pribavljanjem, upravljanjem i korištenjem sredstava Fonda.</w:t>
      </w:r>
    </w:p>
    <w:p w14:paraId="6BB11086" w14:textId="77777777" w:rsidR="00FE4DE2" w:rsidRDefault="00FE4DE2" w:rsidP="00FE4DE2">
      <w:pPr>
        <w:spacing w:after="0"/>
        <w:ind w:firstLine="432"/>
        <w:rPr>
          <w:rFonts w:cs="Times New Roman"/>
          <w:b/>
          <w:bCs/>
          <w:szCs w:val="24"/>
        </w:rPr>
      </w:pPr>
    </w:p>
    <w:p w14:paraId="6A47E69C" w14:textId="77777777" w:rsidR="00FD64F2" w:rsidRPr="00C07BE5" w:rsidRDefault="00FD64F2" w:rsidP="00FE4DE2">
      <w:pPr>
        <w:spacing w:after="0"/>
        <w:ind w:firstLine="432"/>
        <w:rPr>
          <w:rFonts w:cs="Times New Roman"/>
          <w:b/>
          <w:bCs/>
          <w:szCs w:val="24"/>
        </w:rPr>
      </w:pPr>
    </w:p>
    <w:p w14:paraId="02D3C784" w14:textId="77777777" w:rsidR="00FE4DE2" w:rsidRPr="00C07BE5" w:rsidRDefault="00FE4DE2" w:rsidP="00FE4DE2">
      <w:pPr>
        <w:spacing w:after="0"/>
        <w:ind w:firstLine="432"/>
        <w:rPr>
          <w:rFonts w:cs="Times New Roman"/>
          <w:szCs w:val="24"/>
        </w:rPr>
      </w:pPr>
      <w:r w:rsidRPr="00C07BE5">
        <w:rPr>
          <w:rFonts w:cs="Times New Roman"/>
          <w:b/>
          <w:bCs/>
          <w:szCs w:val="24"/>
        </w:rPr>
        <w:lastRenderedPageBreak/>
        <w:t>Izvori financiranja</w:t>
      </w:r>
      <w:r w:rsidRPr="00C07BE5">
        <w:rPr>
          <w:rFonts w:cs="Times New Roman"/>
          <w:szCs w:val="24"/>
        </w:rPr>
        <w:t>:</w:t>
      </w:r>
    </w:p>
    <w:p w14:paraId="1199B68C" w14:textId="77777777" w:rsidR="00FE4DE2" w:rsidRPr="00C07BE5" w:rsidRDefault="00FE4DE2" w:rsidP="00FE4DE2">
      <w:pPr>
        <w:pStyle w:val="ListParagraph"/>
        <w:numPr>
          <w:ilvl w:val="0"/>
          <w:numId w:val="26"/>
        </w:numPr>
        <w:spacing w:after="0"/>
        <w:ind w:right="0"/>
        <w:rPr>
          <w:rFonts w:cs="Times New Roman"/>
          <w:szCs w:val="24"/>
        </w:rPr>
      </w:pPr>
      <w:r w:rsidRPr="00C07BE5">
        <w:rPr>
          <w:rFonts w:cs="Times New Roman"/>
          <w:szCs w:val="24"/>
        </w:rPr>
        <w:t xml:space="preserve">sredstva za financiranje razgradnje i zbrinjavanja RAO i ING iz NE Krško koje  Hrvatska elektroprivreda d.d. uplaćuje u  Fond tromjesečno do prestanka rada NE Krško, uvećana za prinose koje Fond ostvaruje financijskim ulaganjima </w:t>
      </w:r>
    </w:p>
    <w:p w14:paraId="50FCD70D" w14:textId="77777777" w:rsidR="00FE4DE2" w:rsidRPr="00C07BE5" w:rsidRDefault="00FE4DE2" w:rsidP="00FE4DE2">
      <w:pPr>
        <w:pStyle w:val="ListParagraph"/>
        <w:numPr>
          <w:ilvl w:val="0"/>
          <w:numId w:val="26"/>
        </w:numPr>
        <w:spacing w:after="0"/>
        <w:ind w:right="0"/>
        <w:rPr>
          <w:rFonts w:cs="Times New Roman"/>
          <w:szCs w:val="24"/>
        </w:rPr>
      </w:pPr>
      <w:r w:rsidRPr="00C07BE5">
        <w:rPr>
          <w:rFonts w:cs="Times New Roman"/>
          <w:szCs w:val="24"/>
        </w:rPr>
        <w:t>naknade za zbrinjavanje koje Fondu uplaćuju prouzročitelji i/ili vlasnici radioaktivnog otpada i iskorištenih izvora</w:t>
      </w:r>
    </w:p>
    <w:p w14:paraId="0ED2F56D" w14:textId="77777777" w:rsidR="00FE4DE2" w:rsidRPr="00C07BE5" w:rsidRDefault="00FE4DE2" w:rsidP="00FE4DE2">
      <w:pPr>
        <w:pStyle w:val="ListParagraph"/>
        <w:numPr>
          <w:ilvl w:val="0"/>
          <w:numId w:val="26"/>
        </w:numPr>
        <w:spacing w:after="0"/>
        <w:ind w:right="0"/>
        <w:rPr>
          <w:rFonts w:cs="Times New Roman"/>
          <w:szCs w:val="24"/>
        </w:rPr>
      </w:pPr>
      <w:r w:rsidRPr="00C07BE5">
        <w:rPr>
          <w:rFonts w:cs="Times New Roman"/>
          <w:szCs w:val="24"/>
        </w:rPr>
        <w:t>naknade iz državnog proračuna Republike Hrvatske za RAO i iskorištene izvore bez poznatog vlasnika kao i za zbrinjavanje RAO i iskorištenih izvora u</w:t>
      </w:r>
      <w:r w:rsidRPr="00C07BE5">
        <w:rPr>
          <w:rFonts w:cs="Times New Roman"/>
        </w:rPr>
        <w:t xml:space="preserve"> </w:t>
      </w:r>
      <w:r w:rsidRPr="00C07BE5">
        <w:rPr>
          <w:rFonts w:cs="Times New Roman"/>
          <w:szCs w:val="24"/>
        </w:rPr>
        <w:t>Institutu za medicinska istraživanja i medicinu rada te Institutu Ruđer Bošković.</w:t>
      </w:r>
    </w:p>
    <w:p w14:paraId="4E1E190F" w14:textId="77777777" w:rsidR="00FE4DE2" w:rsidRPr="00C07BE5" w:rsidRDefault="00FE4DE2" w:rsidP="00FE4DE2">
      <w:pPr>
        <w:spacing w:after="0"/>
        <w:ind w:firstLine="432"/>
        <w:rPr>
          <w:rFonts w:cs="Times New Roman"/>
          <w:szCs w:val="24"/>
        </w:rPr>
      </w:pPr>
    </w:p>
    <w:p w14:paraId="73B432B5" w14:textId="77777777" w:rsidR="00FE4DE2" w:rsidRPr="00C07BE5" w:rsidRDefault="00FE4DE2" w:rsidP="00FE4DE2">
      <w:pPr>
        <w:spacing w:after="0"/>
        <w:ind w:firstLine="432"/>
        <w:rPr>
          <w:rFonts w:cs="Times New Roman"/>
          <w:szCs w:val="24"/>
        </w:rPr>
      </w:pPr>
      <w:r w:rsidRPr="00C07BE5">
        <w:rPr>
          <w:rFonts w:cs="Times New Roman"/>
          <w:b/>
          <w:bCs/>
          <w:szCs w:val="24"/>
        </w:rPr>
        <w:t>Upravni odbor</w:t>
      </w:r>
      <w:r w:rsidRPr="00C07BE5">
        <w:rPr>
          <w:rFonts w:cs="Times New Roman"/>
          <w:szCs w:val="24"/>
        </w:rPr>
        <w:t>, od 20. siječnja 2022.godine:</w:t>
      </w:r>
    </w:p>
    <w:p w14:paraId="630A36EC" w14:textId="77777777" w:rsidR="00FE4DE2" w:rsidRPr="00C07BE5" w:rsidRDefault="00FE4DE2" w:rsidP="00FE4DE2">
      <w:pPr>
        <w:spacing w:before="120" w:after="0"/>
        <w:ind w:left="431" w:firstLine="431"/>
        <w:rPr>
          <w:rFonts w:cs="Times New Roman"/>
          <w:b/>
          <w:bCs/>
          <w:szCs w:val="24"/>
        </w:rPr>
      </w:pPr>
      <w:r w:rsidRPr="00C07BE5">
        <w:rPr>
          <w:rFonts w:cs="Times New Roman"/>
          <w:b/>
          <w:bCs/>
          <w:szCs w:val="24"/>
        </w:rPr>
        <w:t xml:space="preserve">Ivo Milatić, </w:t>
      </w:r>
      <w:r w:rsidRPr="00C07BE5">
        <w:rPr>
          <w:rFonts w:cs="Times New Roman"/>
          <w:szCs w:val="24"/>
        </w:rPr>
        <w:t>predsjednik, Ministarstvo gospodarstva i održivog razvoja</w:t>
      </w:r>
    </w:p>
    <w:p w14:paraId="19E9EE9A" w14:textId="77777777" w:rsidR="00FE4DE2" w:rsidRPr="00C07BE5" w:rsidRDefault="00FE4DE2" w:rsidP="00FE4DE2">
      <w:pPr>
        <w:spacing w:after="0"/>
        <w:ind w:left="431" w:firstLine="431"/>
        <w:rPr>
          <w:rFonts w:cs="Times New Roman"/>
          <w:szCs w:val="24"/>
        </w:rPr>
      </w:pPr>
      <w:r w:rsidRPr="00C07BE5">
        <w:rPr>
          <w:rFonts w:cs="Times New Roman"/>
          <w:b/>
          <w:bCs/>
          <w:szCs w:val="24"/>
        </w:rPr>
        <w:t xml:space="preserve">Vjekoslav Jukić, </w:t>
      </w:r>
      <w:r w:rsidRPr="00C07BE5">
        <w:rPr>
          <w:rFonts w:cs="Times New Roman"/>
          <w:szCs w:val="24"/>
        </w:rPr>
        <w:t>zamjenik predsjednika, Ministarstvo gospodarstva i održivog razvoja</w:t>
      </w:r>
    </w:p>
    <w:p w14:paraId="3E734EE1" w14:textId="77777777" w:rsidR="00FE4DE2" w:rsidRPr="00C07BE5" w:rsidRDefault="00FE4DE2" w:rsidP="00FE4DE2">
      <w:pPr>
        <w:spacing w:after="0"/>
        <w:ind w:left="431" w:firstLine="431"/>
        <w:rPr>
          <w:rFonts w:cs="Times New Roman"/>
          <w:b/>
          <w:bCs/>
          <w:szCs w:val="24"/>
        </w:rPr>
      </w:pPr>
      <w:r w:rsidRPr="00C07BE5">
        <w:rPr>
          <w:rFonts w:cs="Times New Roman"/>
          <w:b/>
          <w:bCs/>
          <w:szCs w:val="24"/>
        </w:rPr>
        <w:t xml:space="preserve">Damir Trut, </w:t>
      </w:r>
      <w:r w:rsidRPr="00C07BE5">
        <w:rPr>
          <w:rFonts w:cs="Times New Roman"/>
          <w:szCs w:val="24"/>
        </w:rPr>
        <w:t>Ministarstvo unutarnjih poslova</w:t>
      </w:r>
    </w:p>
    <w:p w14:paraId="68A5EBC5" w14:textId="77777777" w:rsidR="00FE4DE2" w:rsidRPr="00C07BE5" w:rsidRDefault="00FE4DE2" w:rsidP="00FE4DE2">
      <w:pPr>
        <w:spacing w:after="0"/>
        <w:ind w:left="431" w:firstLine="431"/>
        <w:rPr>
          <w:rFonts w:cs="Times New Roman"/>
          <w:b/>
          <w:bCs/>
          <w:szCs w:val="24"/>
        </w:rPr>
      </w:pPr>
      <w:r w:rsidRPr="00C07BE5">
        <w:rPr>
          <w:rFonts w:cs="Times New Roman"/>
          <w:b/>
          <w:bCs/>
          <w:szCs w:val="24"/>
        </w:rPr>
        <w:t xml:space="preserve">Hana Zoričić, </w:t>
      </w:r>
      <w:r w:rsidRPr="00C07BE5">
        <w:rPr>
          <w:rFonts w:cs="Times New Roman"/>
          <w:szCs w:val="24"/>
        </w:rPr>
        <w:t>Ministarstvo financija</w:t>
      </w:r>
    </w:p>
    <w:p w14:paraId="4052E332" w14:textId="77777777" w:rsidR="00FE4DE2" w:rsidRPr="00C07BE5" w:rsidRDefault="00FE4DE2" w:rsidP="00FE4DE2">
      <w:pPr>
        <w:spacing w:after="0"/>
        <w:ind w:left="431" w:firstLine="431"/>
        <w:rPr>
          <w:rFonts w:cs="Times New Roman"/>
          <w:szCs w:val="24"/>
        </w:rPr>
      </w:pPr>
      <w:r w:rsidRPr="00C07BE5">
        <w:rPr>
          <w:rFonts w:cs="Times New Roman"/>
          <w:b/>
          <w:bCs/>
          <w:szCs w:val="24"/>
        </w:rPr>
        <w:t xml:space="preserve">Matjaž Prah, </w:t>
      </w:r>
      <w:r w:rsidRPr="00C07BE5">
        <w:rPr>
          <w:rFonts w:cs="Times New Roman"/>
          <w:szCs w:val="24"/>
        </w:rPr>
        <w:t>Hrvatska elektroprivreda d.d.</w:t>
      </w:r>
    </w:p>
    <w:p w14:paraId="46E2CDF4" w14:textId="3C9A6B81" w:rsidR="00FE4DE2" w:rsidRDefault="00FE4DE2" w:rsidP="00FE4DE2">
      <w:pPr>
        <w:spacing w:after="0"/>
        <w:ind w:left="431" w:firstLine="431"/>
        <w:rPr>
          <w:rFonts w:cs="Times New Roman"/>
          <w:szCs w:val="24"/>
        </w:rPr>
      </w:pPr>
      <w:r w:rsidRPr="00C07BE5">
        <w:rPr>
          <w:rFonts w:cs="Times New Roman"/>
          <w:b/>
          <w:bCs/>
          <w:szCs w:val="24"/>
        </w:rPr>
        <w:t xml:space="preserve">Marijana Ivanov, </w:t>
      </w:r>
      <w:r w:rsidRPr="00C07BE5">
        <w:rPr>
          <w:rFonts w:cs="Times New Roman"/>
          <w:szCs w:val="24"/>
        </w:rPr>
        <w:t>neovisni stručnjak za financije</w:t>
      </w:r>
      <w:r w:rsidR="00F27D3B">
        <w:rPr>
          <w:rFonts w:cs="Times New Roman"/>
          <w:szCs w:val="24"/>
        </w:rPr>
        <w:t xml:space="preserve"> – do 30.studenoga 2023.</w:t>
      </w:r>
    </w:p>
    <w:p w14:paraId="4AF041BB" w14:textId="2C0A5E48" w:rsidR="00F27D3B" w:rsidRPr="00C07BE5" w:rsidRDefault="00F27D3B" w:rsidP="00FE4DE2">
      <w:pPr>
        <w:spacing w:after="0"/>
        <w:ind w:left="431" w:firstLine="431"/>
        <w:rPr>
          <w:rFonts w:cs="Times New Roman"/>
          <w:szCs w:val="24"/>
        </w:rPr>
      </w:pPr>
      <w:r>
        <w:rPr>
          <w:rFonts w:cs="Times New Roman"/>
          <w:b/>
          <w:bCs/>
          <w:szCs w:val="24"/>
        </w:rPr>
        <w:t xml:space="preserve">Dora Naletina, </w:t>
      </w:r>
      <w:r w:rsidRPr="00F27D3B">
        <w:rPr>
          <w:rFonts w:cs="Times New Roman"/>
          <w:szCs w:val="24"/>
        </w:rPr>
        <w:t>neovisni stručnjak za financije</w:t>
      </w:r>
      <w:r>
        <w:rPr>
          <w:rFonts w:cs="Times New Roman"/>
          <w:b/>
          <w:bCs/>
          <w:szCs w:val="24"/>
        </w:rPr>
        <w:t xml:space="preserve"> </w:t>
      </w:r>
      <w:r w:rsidRPr="00F27D3B">
        <w:rPr>
          <w:rFonts w:cs="Times New Roman"/>
          <w:szCs w:val="24"/>
        </w:rPr>
        <w:t>– od 30.studenoga 2023.</w:t>
      </w:r>
      <w:r>
        <w:rPr>
          <w:rFonts w:cs="Times New Roman"/>
          <w:b/>
          <w:bCs/>
          <w:szCs w:val="24"/>
        </w:rPr>
        <w:t xml:space="preserve"> </w:t>
      </w:r>
    </w:p>
    <w:p w14:paraId="574839DF" w14:textId="37BC2330" w:rsidR="00FE4DE2" w:rsidRDefault="00FE4DE2" w:rsidP="00C07BE5">
      <w:pPr>
        <w:spacing w:after="0"/>
        <w:ind w:left="431" w:firstLine="431"/>
        <w:rPr>
          <w:rFonts w:cs="Times New Roman"/>
          <w:szCs w:val="24"/>
        </w:rPr>
      </w:pPr>
      <w:r w:rsidRPr="00C07BE5">
        <w:rPr>
          <w:rFonts w:cs="Times New Roman"/>
          <w:b/>
          <w:bCs/>
          <w:szCs w:val="24"/>
        </w:rPr>
        <w:t xml:space="preserve">Dražen Jakšić, </w:t>
      </w:r>
      <w:r w:rsidRPr="00C07BE5">
        <w:rPr>
          <w:rFonts w:cs="Times New Roman"/>
          <w:szCs w:val="24"/>
        </w:rPr>
        <w:t>neovisni stručnjak za nuklearnu sigurnost.</w:t>
      </w:r>
    </w:p>
    <w:p w14:paraId="75E8CA1C" w14:textId="77777777" w:rsidR="00F27D3B" w:rsidRDefault="00F27D3B" w:rsidP="00C07BE5">
      <w:pPr>
        <w:spacing w:after="0"/>
        <w:rPr>
          <w:rFonts w:cs="Times New Roman"/>
          <w:b/>
          <w:bCs/>
          <w:szCs w:val="24"/>
        </w:rPr>
      </w:pPr>
    </w:p>
    <w:p w14:paraId="78930DBB" w14:textId="7043D900" w:rsidR="00C07BE5" w:rsidRDefault="004B7FF7" w:rsidP="00C07BE5">
      <w:pPr>
        <w:spacing w:after="0"/>
        <w:rPr>
          <w:rFonts w:cs="Times New Roman"/>
          <w:szCs w:val="24"/>
        </w:rPr>
      </w:pPr>
      <w:r w:rsidRPr="00C07BE5">
        <w:rPr>
          <w:rFonts w:cs="Times New Roman"/>
          <w:b/>
          <w:bCs/>
          <w:szCs w:val="24"/>
        </w:rPr>
        <w:t>Pravna osnova</w:t>
      </w:r>
      <w:r w:rsidRPr="00C07BE5">
        <w:rPr>
          <w:rFonts w:cs="Times New Roman"/>
          <w:szCs w:val="24"/>
        </w:rPr>
        <w:t xml:space="preserve"> za podnošenje Izvješća o ostvarivanju programa rada i financijskog izvješća za 202</w:t>
      </w:r>
      <w:r w:rsidR="0045103A" w:rsidRPr="00C07BE5">
        <w:rPr>
          <w:rFonts w:cs="Times New Roman"/>
          <w:szCs w:val="24"/>
        </w:rPr>
        <w:t>3</w:t>
      </w:r>
      <w:r w:rsidRPr="00C07BE5">
        <w:rPr>
          <w:rFonts w:cs="Times New Roman"/>
          <w:szCs w:val="24"/>
        </w:rPr>
        <w:t>. godin</w:t>
      </w:r>
      <w:r w:rsidR="008D6EE1" w:rsidRPr="00C07BE5">
        <w:rPr>
          <w:rFonts w:cs="Times New Roman"/>
          <w:szCs w:val="24"/>
        </w:rPr>
        <w:t>u</w:t>
      </w:r>
      <w:r w:rsidRPr="00C07BE5">
        <w:rPr>
          <w:rFonts w:cs="Times New Roman"/>
          <w:szCs w:val="24"/>
        </w:rPr>
        <w:t xml:space="preserve"> sadržan</w:t>
      </w:r>
      <w:r w:rsidR="008D6EE1" w:rsidRPr="00C07BE5">
        <w:rPr>
          <w:rFonts w:cs="Times New Roman"/>
          <w:szCs w:val="24"/>
        </w:rPr>
        <w:t>a</w:t>
      </w:r>
      <w:r w:rsidRPr="00C07BE5">
        <w:rPr>
          <w:rFonts w:cs="Times New Roman"/>
          <w:szCs w:val="24"/>
        </w:rPr>
        <w:t xml:space="preserve"> je u članku 18. Zakona o Fondu za financiranje razgradnje i zbrinjavanja radioaktivnog otpada i istrošenoga nuklearnog goriva Nuklearne elektrane Krško (N</w:t>
      </w:r>
      <w:r w:rsidR="007D5212" w:rsidRPr="00C07BE5">
        <w:rPr>
          <w:rFonts w:cs="Times New Roman"/>
          <w:szCs w:val="24"/>
        </w:rPr>
        <w:t>N</w:t>
      </w:r>
      <w:r w:rsidRPr="00C07BE5">
        <w:rPr>
          <w:rFonts w:cs="Times New Roman"/>
          <w:szCs w:val="24"/>
        </w:rPr>
        <w:t xml:space="preserve"> 107/07</w:t>
      </w:r>
      <w:r w:rsidR="00911954" w:rsidRPr="00C07BE5">
        <w:rPr>
          <w:rFonts w:cs="Times New Roman"/>
          <w:szCs w:val="24"/>
        </w:rPr>
        <w:t xml:space="preserve"> i 21/22</w:t>
      </w:r>
      <w:r w:rsidRPr="00C07BE5">
        <w:rPr>
          <w:rFonts w:cs="Times New Roman"/>
          <w:szCs w:val="24"/>
        </w:rPr>
        <w:t xml:space="preserve">), (u daljnjem tekstu: Zakon o Fondu) i članku </w:t>
      </w:r>
      <w:r w:rsidR="00624EE6" w:rsidRPr="00C07BE5">
        <w:rPr>
          <w:rFonts w:cs="Times New Roman"/>
          <w:szCs w:val="24"/>
        </w:rPr>
        <w:t>21</w:t>
      </w:r>
      <w:r w:rsidRPr="00C07BE5">
        <w:rPr>
          <w:rFonts w:cs="Times New Roman"/>
          <w:szCs w:val="24"/>
        </w:rPr>
        <w:t>. Statuta Fonda.</w:t>
      </w:r>
    </w:p>
    <w:p w14:paraId="1C329C17" w14:textId="77777777" w:rsidR="00C07BE5" w:rsidRDefault="00C07BE5">
      <w:pPr>
        <w:spacing w:after="160" w:line="360" w:lineRule="auto"/>
        <w:jc w:val="left"/>
        <w:rPr>
          <w:rFonts w:cs="Times New Roman"/>
          <w:szCs w:val="24"/>
        </w:rPr>
      </w:pPr>
      <w:r>
        <w:rPr>
          <w:rFonts w:cs="Times New Roman"/>
          <w:szCs w:val="24"/>
        </w:rPr>
        <w:br w:type="page"/>
      </w:r>
    </w:p>
    <w:p w14:paraId="4FA94A01" w14:textId="1B4767D3" w:rsidR="00741DC7" w:rsidRPr="00C07BE5" w:rsidRDefault="000534B3" w:rsidP="001C1104">
      <w:pPr>
        <w:pStyle w:val="Heading1"/>
      </w:pPr>
      <w:bookmarkStart w:id="3" w:name="_Toc157682482"/>
      <w:bookmarkStart w:id="4" w:name="_Toc157682970"/>
      <w:bookmarkStart w:id="5" w:name="_Toc157683054"/>
      <w:bookmarkStart w:id="6" w:name="_Toc158020089"/>
      <w:bookmarkStart w:id="7" w:name="_Toc157682483"/>
      <w:bookmarkStart w:id="8" w:name="_Toc157682971"/>
      <w:bookmarkStart w:id="9" w:name="_Toc157683055"/>
      <w:bookmarkStart w:id="10" w:name="_Toc158020090"/>
      <w:bookmarkStart w:id="11" w:name="_Toc157682484"/>
      <w:bookmarkStart w:id="12" w:name="_Toc157682972"/>
      <w:bookmarkStart w:id="13" w:name="_Toc157683056"/>
      <w:bookmarkStart w:id="14" w:name="_Toc158020091"/>
      <w:bookmarkStart w:id="15" w:name="_Toc127350251"/>
      <w:bookmarkStart w:id="16" w:name="_Toc158992024"/>
      <w:bookmarkEnd w:id="3"/>
      <w:bookmarkEnd w:id="4"/>
      <w:bookmarkEnd w:id="5"/>
      <w:bookmarkEnd w:id="6"/>
      <w:bookmarkEnd w:id="7"/>
      <w:bookmarkEnd w:id="8"/>
      <w:bookmarkEnd w:id="9"/>
      <w:bookmarkEnd w:id="10"/>
      <w:bookmarkEnd w:id="11"/>
      <w:bookmarkEnd w:id="12"/>
      <w:bookmarkEnd w:id="13"/>
      <w:bookmarkEnd w:id="14"/>
      <w:r w:rsidRPr="00C07BE5">
        <w:lastRenderedPageBreak/>
        <w:t>Ostvarenje programa rada</w:t>
      </w:r>
      <w:bookmarkEnd w:id="15"/>
      <w:bookmarkEnd w:id="16"/>
    </w:p>
    <w:p w14:paraId="3F48F44A" w14:textId="078ACB0D" w:rsidR="00982FEE" w:rsidRPr="00C07BE5" w:rsidRDefault="00982FEE" w:rsidP="00982FEE">
      <w:pPr>
        <w:pStyle w:val="Heading2"/>
        <w:rPr>
          <w:rFonts w:ascii="Times New Roman" w:hAnsi="Times New Roman" w:cs="Times New Roman"/>
        </w:rPr>
      </w:pPr>
      <w:bookmarkStart w:id="17" w:name="_Toc80697090"/>
      <w:bookmarkStart w:id="18" w:name="_Toc127350252"/>
      <w:bookmarkStart w:id="19" w:name="_Toc158992025"/>
      <w:r w:rsidRPr="00C07BE5">
        <w:rPr>
          <w:rFonts w:ascii="Times New Roman" w:hAnsi="Times New Roman" w:cs="Times New Roman"/>
        </w:rPr>
        <w:t>Upravljanje financijskom imovinom</w:t>
      </w:r>
      <w:bookmarkEnd w:id="17"/>
      <w:bookmarkEnd w:id="18"/>
      <w:bookmarkEnd w:id="19"/>
    </w:p>
    <w:p w14:paraId="345F3830" w14:textId="043B4A9A" w:rsidR="00B72CF4" w:rsidRPr="00C07BE5" w:rsidRDefault="00B72CF4" w:rsidP="00B72CF4">
      <w:pPr>
        <w:rPr>
          <w:rFonts w:cs="Times New Roman"/>
          <w:szCs w:val="24"/>
        </w:rPr>
      </w:pPr>
      <w:bookmarkStart w:id="20" w:name="_Hlk109809205"/>
      <w:r w:rsidRPr="00C07BE5">
        <w:rPr>
          <w:rFonts w:cs="Times New Roman"/>
          <w:szCs w:val="24"/>
        </w:rPr>
        <w:t>202</w:t>
      </w:r>
      <w:r w:rsidR="0045103A" w:rsidRPr="00C07BE5">
        <w:rPr>
          <w:rFonts w:cs="Times New Roman"/>
          <w:szCs w:val="24"/>
        </w:rPr>
        <w:t>3</w:t>
      </w:r>
      <w:r w:rsidRPr="00C07BE5">
        <w:rPr>
          <w:rFonts w:cs="Times New Roman"/>
          <w:szCs w:val="24"/>
        </w:rPr>
        <w:t xml:space="preserve">. </w:t>
      </w:r>
      <w:r w:rsidR="0039524A" w:rsidRPr="00C07BE5">
        <w:rPr>
          <w:rFonts w:cs="Times New Roman"/>
          <w:szCs w:val="24"/>
        </w:rPr>
        <w:t xml:space="preserve">godina je </w:t>
      </w:r>
      <w:r w:rsidRPr="00C07BE5">
        <w:rPr>
          <w:rFonts w:cs="Times New Roman"/>
          <w:szCs w:val="24"/>
        </w:rPr>
        <w:t xml:space="preserve">na svjetskim financijskim tržištima </w:t>
      </w:r>
      <w:r w:rsidR="0039524A" w:rsidRPr="00C07BE5">
        <w:rPr>
          <w:rFonts w:cs="Times New Roman"/>
          <w:szCs w:val="24"/>
        </w:rPr>
        <w:t xml:space="preserve">obilježena </w:t>
      </w:r>
      <w:r w:rsidRPr="00C07BE5">
        <w:rPr>
          <w:rFonts w:cs="Times New Roman"/>
          <w:szCs w:val="24"/>
        </w:rPr>
        <w:t>sljedećim događajima:</w:t>
      </w:r>
    </w:p>
    <w:bookmarkEnd w:id="20"/>
    <w:p w14:paraId="034F2574" w14:textId="6D469008" w:rsidR="0045103A" w:rsidRPr="00C07BE5" w:rsidRDefault="0045103A" w:rsidP="0045103A">
      <w:pPr>
        <w:pStyle w:val="ListParagraph"/>
        <w:numPr>
          <w:ilvl w:val="0"/>
          <w:numId w:val="6"/>
        </w:numPr>
        <w:spacing w:after="0"/>
        <w:rPr>
          <w:rFonts w:cs="Times New Roman"/>
          <w:szCs w:val="24"/>
        </w:rPr>
      </w:pPr>
      <w:r w:rsidRPr="00C07BE5">
        <w:rPr>
          <w:rFonts w:cs="Times New Roman"/>
          <w:szCs w:val="24"/>
        </w:rPr>
        <w:t>Globalni gospodarski rast se pokazao otpornijim od očekivanja.</w:t>
      </w:r>
      <w:r w:rsidR="00716BFE" w:rsidRPr="00C07BE5">
        <w:rPr>
          <w:rFonts w:cs="Times New Roman"/>
          <w:szCs w:val="24"/>
        </w:rPr>
        <w:t xml:space="preserve"> </w:t>
      </w:r>
      <w:r w:rsidRPr="00C07BE5">
        <w:rPr>
          <w:rFonts w:cs="Times New Roman"/>
          <w:szCs w:val="24"/>
        </w:rPr>
        <w:t xml:space="preserve">Snažna potrošnja stanovništva podržana visokim razinama zaposlenosti i akumuliranom štednjom zajedno sa ekspanzivnom fiskalnom politikom, uspjela je bitno umanjiti negativne posljedice jednog od najoštrijih ciklusa zaoštravanja monetarne politike. Posebno impresivan rezultat je ostvarilo američko gospodarstvo koje je uz ubrzanje gospodarskog rasta </w:t>
      </w:r>
      <w:r w:rsidR="00654E3F" w:rsidRPr="00C07BE5">
        <w:rPr>
          <w:rFonts w:cs="Times New Roman"/>
          <w:szCs w:val="24"/>
        </w:rPr>
        <w:t>od</w:t>
      </w:r>
      <w:r w:rsidRPr="00C07BE5">
        <w:rPr>
          <w:rFonts w:cs="Times New Roman"/>
          <w:szCs w:val="24"/>
        </w:rPr>
        <w:t xml:space="preserve"> </w:t>
      </w:r>
      <w:r w:rsidR="00654E3F" w:rsidRPr="00C07BE5">
        <w:rPr>
          <w:rFonts w:cs="Times New Roman"/>
          <w:szCs w:val="24"/>
        </w:rPr>
        <w:t xml:space="preserve">preko </w:t>
      </w:r>
      <w:r w:rsidRPr="00C07BE5">
        <w:rPr>
          <w:rFonts w:cs="Times New Roman"/>
          <w:szCs w:val="24"/>
        </w:rPr>
        <w:t xml:space="preserve">3% uspjelo prepoloviti prosječnu stopu inflacije s 8% na 4%. U eurozoni gospodarski rast je bitno usporio najviše pod utjecajem </w:t>
      </w:r>
      <w:r w:rsidR="00654E3F" w:rsidRPr="00C07BE5">
        <w:rPr>
          <w:rFonts w:cs="Times New Roman"/>
          <w:szCs w:val="24"/>
        </w:rPr>
        <w:t>stagnacije</w:t>
      </w:r>
      <w:r w:rsidRPr="00C07BE5">
        <w:rPr>
          <w:rFonts w:cs="Times New Roman"/>
          <w:szCs w:val="24"/>
        </w:rPr>
        <w:t xml:space="preserve"> njemačke ekonomije. Kineski </w:t>
      </w:r>
      <w:r w:rsidR="00654E3F" w:rsidRPr="00C07BE5">
        <w:rPr>
          <w:rFonts w:cs="Times New Roman"/>
          <w:szCs w:val="24"/>
        </w:rPr>
        <w:t xml:space="preserve">je </w:t>
      </w:r>
      <w:r w:rsidRPr="00C07BE5">
        <w:rPr>
          <w:rFonts w:cs="Times New Roman"/>
          <w:szCs w:val="24"/>
        </w:rPr>
        <w:t>gospodarski oporavak</w:t>
      </w:r>
      <w:r w:rsidR="00654E3F" w:rsidRPr="00C07BE5">
        <w:rPr>
          <w:rFonts w:cs="Times New Roman"/>
          <w:szCs w:val="24"/>
        </w:rPr>
        <w:t>,</w:t>
      </w:r>
      <w:r w:rsidRPr="00C07BE5">
        <w:rPr>
          <w:rFonts w:cs="Times New Roman"/>
          <w:szCs w:val="24"/>
        </w:rPr>
        <w:t xml:space="preserve"> zbog suzdržanosti potrošača i krize na tržištu nekretnina</w:t>
      </w:r>
      <w:r w:rsidR="00654E3F" w:rsidRPr="00C07BE5">
        <w:rPr>
          <w:rFonts w:cs="Times New Roman"/>
          <w:szCs w:val="24"/>
        </w:rPr>
        <w:t>,</w:t>
      </w:r>
      <w:r w:rsidRPr="00C07BE5">
        <w:rPr>
          <w:rFonts w:cs="Times New Roman"/>
          <w:szCs w:val="24"/>
        </w:rPr>
        <w:t xml:space="preserve"> bio slabiji od očekivanja.</w:t>
      </w:r>
    </w:p>
    <w:p w14:paraId="0E96CDB9" w14:textId="55C69221" w:rsidR="0045103A" w:rsidRPr="00C07BE5" w:rsidRDefault="0045103A" w:rsidP="00881ECC">
      <w:pPr>
        <w:pStyle w:val="ListParagraph"/>
        <w:numPr>
          <w:ilvl w:val="0"/>
          <w:numId w:val="6"/>
        </w:numPr>
        <w:spacing w:after="0"/>
        <w:rPr>
          <w:rFonts w:cs="Times New Roman"/>
          <w:szCs w:val="24"/>
        </w:rPr>
      </w:pPr>
      <w:r w:rsidRPr="00C07BE5">
        <w:rPr>
          <w:rFonts w:cs="Times New Roman"/>
          <w:szCs w:val="24"/>
        </w:rPr>
        <w:t xml:space="preserve">Pod utjecajem normalizacije globalnih lanaca opskrbe, pada cijena sirovina te restriktivnih monetarnih politika središnjih banaka, došlo je do snažnog smanjenja stopa inflacije u vodećim gospodarstvima. Stope opće inflacije prepolovile su se u odnosu na 2022. godinu, ali su i dalje bitno iznad ciljanih razina središnjih banaka.  Stope temeljne inflacije, koje isključuju cijene energije i hrane, bilježe bitno manje smanjenje zbog i dalje prisutnog rasta plaća i cijena u uslužnom sektoru. </w:t>
      </w:r>
    </w:p>
    <w:p w14:paraId="4A5EEA7A" w14:textId="42A8C049" w:rsidR="0045103A" w:rsidRPr="00C07BE5" w:rsidRDefault="0045103A" w:rsidP="0045103A">
      <w:pPr>
        <w:pStyle w:val="ListParagraph"/>
        <w:numPr>
          <w:ilvl w:val="0"/>
          <w:numId w:val="6"/>
        </w:numPr>
        <w:spacing w:after="0"/>
        <w:rPr>
          <w:rFonts w:cs="Times New Roman"/>
          <w:szCs w:val="24"/>
        </w:rPr>
      </w:pPr>
      <w:r w:rsidRPr="00C07BE5">
        <w:rPr>
          <w:rFonts w:cs="Times New Roman"/>
          <w:szCs w:val="24"/>
        </w:rPr>
        <w:t>Prema trenutnoj komunikaciji guvernera vodećih središnjih banaka</w:t>
      </w:r>
      <w:r w:rsidR="00654E3F" w:rsidRPr="00C07BE5">
        <w:rPr>
          <w:rFonts w:cs="Times New Roman"/>
          <w:szCs w:val="24"/>
        </w:rPr>
        <w:t>,</w:t>
      </w:r>
      <w:r w:rsidRPr="00C07BE5">
        <w:rPr>
          <w:rFonts w:cs="Times New Roman"/>
          <w:szCs w:val="24"/>
        </w:rPr>
        <w:t xml:space="preserve"> u 2023. godini dostignut je vrhunac ciklusa pove</w:t>
      </w:r>
      <w:r w:rsidR="00654E3F" w:rsidRPr="00C07BE5">
        <w:rPr>
          <w:rFonts w:cs="Times New Roman"/>
          <w:szCs w:val="24"/>
        </w:rPr>
        <w:t>ć</w:t>
      </w:r>
      <w:r w:rsidRPr="00C07BE5">
        <w:rPr>
          <w:rFonts w:cs="Times New Roman"/>
          <w:szCs w:val="24"/>
        </w:rPr>
        <w:t>anja kamatnih stopa. Vode</w:t>
      </w:r>
      <w:r w:rsidR="00654E3F" w:rsidRPr="00C07BE5">
        <w:rPr>
          <w:rFonts w:cs="Times New Roman"/>
          <w:szCs w:val="24"/>
        </w:rPr>
        <w:t>ć</w:t>
      </w:r>
      <w:r w:rsidRPr="00C07BE5">
        <w:rPr>
          <w:rFonts w:cs="Times New Roman"/>
          <w:szCs w:val="24"/>
        </w:rPr>
        <w:t xml:space="preserve">e kamatne stope u eurozoni su na razini 4,00%-4,50%, dok su u SAD-u na razini 5,25%-5,50   </w:t>
      </w:r>
    </w:p>
    <w:p w14:paraId="365633F8" w14:textId="5A60D15C" w:rsidR="0045103A" w:rsidRPr="00C07BE5" w:rsidRDefault="0045103A" w:rsidP="0045103A">
      <w:pPr>
        <w:pStyle w:val="ListParagraph"/>
        <w:numPr>
          <w:ilvl w:val="0"/>
          <w:numId w:val="6"/>
        </w:numPr>
        <w:spacing w:after="0"/>
        <w:rPr>
          <w:rFonts w:cs="Times New Roman"/>
          <w:szCs w:val="24"/>
        </w:rPr>
      </w:pPr>
      <w:r w:rsidRPr="00C07BE5">
        <w:rPr>
          <w:rFonts w:cs="Times New Roman"/>
          <w:szCs w:val="24"/>
        </w:rPr>
        <w:t>Poja</w:t>
      </w:r>
      <w:r w:rsidR="00654E3F" w:rsidRPr="00C07BE5">
        <w:rPr>
          <w:rFonts w:cs="Times New Roman"/>
          <w:szCs w:val="24"/>
        </w:rPr>
        <w:t>č</w:t>
      </w:r>
      <w:r w:rsidRPr="00C07BE5">
        <w:rPr>
          <w:rFonts w:cs="Times New Roman"/>
          <w:szCs w:val="24"/>
        </w:rPr>
        <w:t>ana volatilnost obilježila je kretanja na tržištima obveznica u 2023. godini. Prvi dio godine obilježio je pritisak na rast prinosa na obveznice kra</w:t>
      </w:r>
      <w:r w:rsidR="00654E3F" w:rsidRPr="00C07BE5">
        <w:rPr>
          <w:rFonts w:cs="Times New Roman"/>
          <w:szCs w:val="24"/>
        </w:rPr>
        <w:t>ć</w:t>
      </w:r>
      <w:r w:rsidRPr="00C07BE5">
        <w:rPr>
          <w:rFonts w:cs="Times New Roman"/>
          <w:szCs w:val="24"/>
        </w:rPr>
        <w:t>eg dospije</w:t>
      </w:r>
      <w:r w:rsidR="00654E3F" w:rsidRPr="00C07BE5">
        <w:rPr>
          <w:rFonts w:cs="Times New Roman"/>
          <w:szCs w:val="24"/>
        </w:rPr>
        <w:t>ć</w:t>
      </w:r>
      <w:r w:rsidRPr="00C07BE5">
        <w:rPr>
          <w:rFonts w:cs="Times New Roman"/>
          <w:szCs w:val="24"/>
        </w:rPr>
        <w:t>a uslijed aktivnog ciklusa pove</w:t>
      </w:r>
      <w:r w:rsidR="00654E3F" w:rsidRPr="00C07BE5">
        <w:rPr>
          <w:rFonts w:cs="Times New Roman"/>
          <w:szCs w:val="24"/>
        </w:rPr>
        <w:t>ć</w:t>
      </w:r>
      <w:r w:rsidRPr="00C07BE5">
        <w:rPr>
          <w:rFonts w:cs="Times New Roman"/>
          <w:szCs w:val="24"/>
        </w:rPr>
        <w:t>anja vode</w:t>
      </w:r>
      <w:r w:rsidR="00654E3F" w:rsidRPr="00C07BE5">
        <w:rPr>
          <w:rFonts w:cs="Times New Roman"/>
          <w:szCs w:val="24"/>
        </w:rPr>
        <w:t>ć</w:t>
      </w:r>
      <w:r w:rsidRPr="00C07BE5">
        <w:rPr>
          <w:rFonts w:cs="Times New Roman"/>
          <w:szCs w:val="24"/>
        </w:rPr>
        <w:t>ih kamatnih stopa od strane ECB-a i FED-a. Tre</w:t>
      </w:r>
      <w:r w:rsidR="00654E3F" w:rsidRPr="00C07BE5">
        <w:rPr>
          <w:rFonts w:cs="Times New Roman"/>
          <w:szCs w:val="24"/>
        </w:rPr>
        <w:t>ć</w:t>
      </w:r>
      <w:r w:rsidRPr="00C07BE5">
        <w:rPr>
          <w:rFonts w:cs="Times New Roman"/>
          <w:szCs w:val="24"/>
        </w:rPr>
        <w:t>e tromjese</w:t>
      </w:r>
      <w:r w:rsidR="00654E3F" w:rsidRPr="00C07BE5">
        <w:rPr>
          <w:rFonts w:cs="Times New Roman"/>
          <w:szCs w:val="24"/>
        </w:rPr>
        <w:t>č</w:t>
      </w:r>
      <w:r w:rsidRPr="00C07BE5">
        <w:rPr>
          <w:rFonts w:cs="Times New Roman"/>
          <w:szCs w:val="24"/>
        </w:rPr>
        <w:t>je je donijelo pritisak na rast prinosa na obveznice dužeg dospije</w:t>
      </w:r>
      <w:r w:rsidR="00654E3F" w:rsidRPr="00C07BE5">
        <w:rPr>
          <w:rFonts w:cs="Times New Roman"/>
          <w:szCs w:val="24"/>
        </w:rPr>
        <w:t>ć</w:t>
      </w:r>
      <w:r w:rsidRPr="00C07BE5">
        <w:rPr>
          <w:rFonts w:cs="Times New Roman"/>
          <w:szCs w:val="24"/>
        </w:rPr>
        <w:t xml:space="preserve">a uslijed smanjenja kreditnog rejtinga SAD-a </w:t>
      </w:r>
      <w:r w:rsidR="00654E3F" w:rsidRPr="00C07BE5">
        <w:rPr>
          <w:rFonts w:cs="Times New Roman"/>
          <w:szCs w:val="24"/>
        </w:rPr>
        <w:t>te</w:t>
      </w:r>
      <w:r w:rsidRPr="00C07BE5">
        <w:rPr>
          <w:rFonts w:cs="Times New Roman"/>
          <w:szCs w:val="24"/>
        </w:rPr>
        <w:t xml:space="preserve"> zabrinutosti investitora oko financiranj</w:t>
      </w:r>
      <w:r w:rsidR="00654E3F" w:rsidRPr="00C07BE5">
        <w:rPr>
          <w:rFonts w:cs="Times New Roman"/>
          <w:szCs w:val="24"/>
        </w:rPr>
        <w:t>a</w:t>
      </w:r>
      <w:r w:rsidRPr="00C07BE5">
        <w:rPr>
          <w:rFonts w:cs="Times New Roman"/>
          <w:szCs w:val="24"/>
        </w:rPr>
        <w:t xml:space="preserve"> planiranih visokih deficita. </w:t>
      </w:r>
      <w:r w:rsidR="00654E3F" w:rsidRPr="00C07BE5">
        <w:rPr>
          <w:rFonts w:cs="Times New Roman"/>
          <w:szCs w:val="24"/>
        </w:rPr>
        <w:t>Č</w:t>
      </w:r>
      <w:r w:rsidRPr="00C07BE5">
        <w:rPr>
          <w:rFonts w:cs="Times New Roman"/>
          <w:szCs w:val="24"/>
        </w:rPr>
        <w:t>etvrto tromjese</w:t>
      </w:r>
      <w:r w:rsidR="00654E3F" w:rsidRPr="00C07BE5">
        <w:rPr>
          <w:rFonts w:cs="Times New Roman"/>
          <w:szCs w:val="24"/>
        </w:rPr>
        <w:t>č</w:t>
      </w:r>
      <w:r w:rsidRPr="00C07BE5">
        <w:rPr>
          <w:rFonts w:cs="Times New Roman"/>
          <w:szCs w:val="24"/>
        </w:rPr>
        <w:t>je</w:t>
      </w:r>
      <w:r w:rsidR="00654E3F" w:rsidRPr="00C07BE5">
        <w:rPr>
          <w:rFonts w:cs="Times New Roman"/>
          <w:szCs w:val="24"/>
        </w:rPr>
        <w:t xml:space="preserve"> je</w:t>
      </w:r>
      <w:r w:rsidRPr="00C07BE5">
        <w:rPr>
          <w:rFonts w:cs="Times New Roman"/>
          <w:szCs w:val="24"/>
        </w:rPr>
        <w:t xml:space="preserve"> donijelo pad prinosa uslijed o</w:t>
      </w:r>
      <w:r w:rsidR="00654E3F" w:rsidRPr="00C07BE5">
        <w:rPr>
          <w:rFonts w:cs="Times New Roman"/>
          <w:szCs w:val="24"/>
        </w:rPr>
        <w:t>č</w:t>
      </w:r>
      <w:r w:rsidRPr="00C07BE5">
        <w:rPr>
          <w:rFonts w:cs="Times New Roman"/>
          <w:szCs w:val="24"/>
        </w:rPr>
        <w:t>ekivan</w:t>
      </w:r>
      <w:r w:rsidR="009A541F" w:rsidRPr="00C07BE5">
        <w:rPr>
          <w:rFonts w:cs="Times New Roman"/>
          <w:szCs w:val="24"/>
        </w:rPr>
        <w:t>og</w:t>
      </w:r>
      <w:r w:rsidRPr="00C07BE5">
        <w:rPr>
          <w:rFonts w:cs="Times New Roman"/>
          <w:szCs w:val="24"/>
        </w:rPr>
        <w:t xml:space="preserve"> po</w:t>
      </w:r>
      <w:r w:rsidR="00654E3F" w:rsidRPr="00C07BE5">
        <w:rPr>
          <w:rFonts w:cs="Times New Roman"/>
          <w:szCs w:val="24"/>
        </w:rPr>
        <w:t>č</w:t>
      </w:r>
      <w:r w:rsidRPr="00C07BE5">
        <w:rPr>
          <w:rFonts w:cs="Times New Roman"/>
          <w:szCs w:val="24"/>
        </w:rPr>
        <w:t xml:space="preserve">etka ciklusa smanjenja kamatnih stopa </w:t>
      </w:r>
      <w:r w:rsidR="00C314FF" w:rsidRPr="00C07BE5">
        <w:rPr>
          <w:rFonts w:cs="Times New Roman"/>
          <w:szCs w:val="24"/>
        </w:rPr>
        <w:t>tijekom</w:t>
      </w:r>
      <w:r w:rsidRPr="00C07BE5">
        <w:rPr>
          <w:rFonts w:cs="Times New Roman"/>
          <w:szCs w:val="24"/>
        </w:rPr>
        <w:t xml:space="preserve"> 2024. godin</w:t>
      </w:r>
      <w:r w:rsidR="00C314FF" w:rsidRPr="00C07BE5">
        <w:rPr>
          <w:rFonts w:cs="Times New Roman"/>
          <w:szCs w:val="24"/>
        </w:rPr>
        <w:t>e</w:t>
      </w:r>
      <w:r w:rsidRPr="00C07BE5">
        <w:rPr>
          <w:rFonts w:cs="Times New Roman"/>
          <w:szCs w:val="24"/>
        </w:rPr>
        <w:t>.</w:t>
      </w:r>
    </w:p>
    <w:p w14:paraId="23CD1330" w14:textId="30952844" w:rsidR="0045103A" w:rsidRPr="00C07BE5" w:rsidRDefault="0045103A" w:rsidP="00295026">
      <w:pPr>
        <w:pStyle w:val="ListParagraph"/>
        <w:numPr>
          <w:ilvl w:val="0"/>
          <w:numId w:val="6"/>
        </w:numPr>
        <w:spacing w:after="0"/>
        <w:rPr>
          <w:rFonts w:cs="Times New Roman"/>
          <w:szCs w:val="24"/>
        </w:rPr>
      </w:pPr>
      <w:r w:rsidRPr="00C07BE5">
        <w:rPr>
          <w:rFonts w:cs="Times New Roman"/>
          <w:szCs w:val="24"/>
        </w:rPr>
        <w:t>Za dioni</w:t>
      </w:r>
      <w:r w:rsidR="00654E3F" w:rsidRPr="00C07BE5">
        <w:rPr>
          <w:rFonts w:cs="Times New Roman"/>
          <w:szCs w:val="24"/>
        </w:rPr>
        <w:t>č</w:t>
      </w:r>
      <w:r w:rsidRPr="00C07BE5">
        <w:rPr>
          <w:rFonts w:cs="Times New Roman"/>
          <w:szCs w:val="24"/>
        </w:rPr>
        <w:t>ka tržišta 2023. godina bila je vrlo uspješna</w:t>
      </w:r>
      <w:r w:rsidR="00C314FF" w:rsidRPr="00C07BE5">
        <w:rPr>
          <w:rFonts w:cs="Times New Roman"/>
          <w:szCs w:val="24"/>
        </w:rPr>
        <w:t>,</w:t>
      </w:r>
      <w:r w:rsidRPr="00C07BE5">
        <w:rPr>
          <w:rFonts w:cs="Times New Roman"/>
          <w:szCs w:val="24"/>
        </w:rPr>
        <w:t xml:space="preserve"> iako usporavanje gospodarskog rasta, restriktivna monetarna politika i izazovna geopoliti</w:t>
      </w:r>
      <w:r w:rsidR="00654E3F" w:rsidRPr="00C07BE5">
        <w:rPr>
          <w:rFonts w:cs="Times New Roman"/>
          <w:szCs w:val="24"/>
        </w:rPr>
        <w:t>č</w:t>
      </w:r>
      <w:r w:rsidRPr="00C07BE5">
        <w:rPr>
          <w:rFonts w:cs="Times New Roman"/>
          <w:szCs w:val="24"/>
        </w:rPr>
        <w:t>ka situacija nisu poticajno okruženje. Dvoznamenkasti rast vode</w:t>
      </w:r>
      <w:r w:rsidR="00654E3F" w:rsidRPr="00C07BE5">
        <w:rPr>
          <w:rFonts w:cs="Times New Roman"/>
          <w:szCs w:val="24"/>
        </w:rPr>
        <w:t>ć</w:t>
      </w:r>
      <w:r w:rsidRPr="00C07BE5">
        <w:rPr>
          <w:rFonts w:cs="Times New Roman"/>
          <w:szCs w:val="24"/>
        </w:rPr>
        <w:t>ih dioni</w:t>
      </w:r>
      <w:r w:rsidR="00654E3F" w:rsidRPr="00C07BE5">
        <w:rPr>
          <w:rFonts w:cs="Times New Roman"/>
          <w:szCs w:val="24"/>
        </w:rPr>
        <w:t>č</w:t>
      </w:r>
      <w:r w:rsidRPr="00C07BE5">
        <w:rPr>
          <w:rFonts w:cs="Times New Roman"/>
          <w:szCs w:val="24"/>
        </w:rPr>
        <w:t>kih indeksa (oko 20%) zabilježen je u Europi i SAD-u.</w:t>
      </w:r>
      <w:r w:rsidR="00C314FF" w:rsidRPr="00C07BE5">
        <w:rPr>
          <w:rFonts w:cs="Times New Roman"/>
          <w:szCs w:val="24"/>
        </w:rPr>
        <w:t xml:space="preserve"> </w:t>
      </w:r>
      <w:r w:rsidRPr="00C07BE5">
        <w:rPr>
          <w:rFonts w:cs="Times New Roman"/>
          <w:szCs w:val="24"/>
        </w:rPr>
        <w:t>Dioni</w:t>
      </w:r>
      <w:r w:rsidR="00654E3F" w:rsidRPr="00C07BE5">
        <w:rPr>
          <w:rFonts w:cs="Times New Roman"/>
          <w:szCs w:val="24"/>
        </w:rPr>
        <w:t>č</w:t>
      </w:r>
      <w:r w:rsidRPr="00C07BE5">
        <w:rPr>
          <w:rFonts w:cs="Times New Roman"/>
          <w:szCs w:val="24"/>
        </w:rPr>
        <w:t>ki indeks Zagreba</w:t>
      </w:r>
      <w:r w:rsidR="00654E3F" w:rsidRPr="00C07BE5">
        <w:rPr>
          <w:rFonts w:cs="Times New Roman"/>
          <w:szCs w:val="24"/>
        </w:rPr>
        <w:t>č</w:t>
      </w:r>
      <w:r w:rsidRPr="00C07BE5">
        <w:rPr>
          <w:rFonts w:cs="Times New Roman"/>
          <w:szCs w:val="24"/>
        </w:rPr>
        <w:t>ke burze u 2023. godini ostvario je visoki rast od 28% nadmašivši izvedb</w:t>
      </w:r>
      <w:r w:rsidR="00C314FF" w:rsidRPr="00C07BE5">
        <w:rPr>
          <w:rFonts w:cs="Times New Roman"/>
          <w:szCs w:val="24"/>
        </w:rPr>
        <w:t>e</w:t>
      </w:r>
      <w:r w:rsidRPr="00C07BE5">
        <w:rPr>
          <w:rFonts w:cs="Times New Roman"/>
          <w:szCs w:val="24"/>
        </w:rPr>
        <w:t xml:space="preserve"> indeksa regije srednje i isto</w:t>
      </w:r>
      <w:r w:rsidR="00654E3F" w:rsidRPr="00C07BE5">
        <w:rPr>
          <w:rFonts w:cs="Times New Roman"/>
          <w:szCs w:val="24"/>
        </w:rPr>
        <w:t>č</w:t>
      </w:r>
      <w:r w:rsidRPr="00C07BE5">
        <w:rPr>
          <w:rFonts w:cs="Times New Roman"/>
          <w:szCs w:val="24"/>
        </w:rPr>
        <w:t>ne Europe, ali i mnogih zapadnih indeksa. Posljedica je to više pozitivnih faktora, od sentimenta na globalnim dioni</w:t>
      </w:r>
      <w:r w:rsidR="00654E3F" w:rsidRPr="00C07BE5">
        <w:rPr>
          <w:rFonts w:cs="Times New Roman"/>
          <w:szCs w:val="24"/>
        </w:rPr>
        <w:t>č</w:t>
      </w:r>
      <w:r w:rsidRPr="00C07BE5">
        <w:rPr>
          <w:rFonts w:cs="Times New Roman"/>
          <w:szCs w:val="24"/>
        </w:rPr>
        <w:t>kim tržištima, ulaska u euro podru</w:t>
      </w:r>
      <w:r w:rsidR="00654E3F" w:rsidRPr="00C07BE5">
        <w:rPr>
          <w:rFonts w:cs="Times New Roman"/>
          <w:szCs w:val="24"/>
        </w:rPr>
        <w:t>č</w:t>
      </w:r>
      <w:r w:rsidRPr="00C07BE5">
        <w:rPr>
          <w:rFonts w:cs="Times New Roman"/>
          <w:szCs w:val="24"/>
        </w:rPr>
        <w:t>je i Schengen do rasta zarada doma</w:t>
      </w:r>
      <w:r w:rsidR="00654E3F" w:rsidRPr="00C07BE5">
        <w:rPr>
          <w:rFonts w:cs="Times New Roman"/>
          <w:szCs w:val="24"/>
        </w:rPr>
        <w:t>ć</w:t>
      </w:r>
      <w:r w:rsidRPr="00C07BE5">
        <w:rPr>
          <w:rFonts w:cs="Times New Roman"/>
          <w:szCs w:val="24"/>
        </w:rPr>
        <w:t xml:space="preserve">ih kompanija. </w:t>
      </w:r>
    </w:p>
    <w:p w14:paraId="73289DB3" w14:textId="77777777" w:rsidR="000534B3" w:rsidRPr="00C07BE5" w:rsidRDefault="000534B3" w:rsidP="00982FEE">
      <w:pPr>
        <w:pStyle w:val="Heading3"/>
        <w:rPr>
          <w:rFonts w:ascii="Times New Roman" w:hAnsi="Times New Roman" w:cs="Times New Roman"/>
          <w:sz w:val="28"/>
          <w:szCs w:val="28"/>
        </w:rPr>
      </w:pPr>
      <w:bookmarkStart w:id="21" w:name="_Toc126912877"/>
      <w:bookmarkStart w:id="22" w:name="_Toc126912878"/>
      <w:bookmarkStart w:id="23" w:name="_Toc80697091"/>
      <w:bookmarkStart w:id="24" w:name="_Toc127350253"/>
      <w:bookmarkStart w:id="25" w:name="_Toc158992026"/>
      <w:bookmarkEnd w:id="21"/>
      <w:bookmarkEnd w:id="22"/>
      <w:r w:rsidRPr="00C07BE5">
        <w:rPr>
          <w:rFonts w:ascii="Times New Roman" w:hAnsi="Times New Roman" w:cs="Times New Roman"/>
          <w:sz w:val="28"/>
          <w:szCs w:val="28"/>
        </w:rPr>
        <w:lastRenderedPageBreak/>
        <w:t>Prikupljanje sredstava</w:t>
      </w:r>
      <w:bookmarkEnd w:id="23"/>
      <w:bookmarkEnd w:id="24"/>
      <w:bookmarkEnd w:id="25"/>
    </w:p>
    <w:p w14:paraId="1691EF61" w14:textId="04B50BCA" w:rsidR="0087178B" w:rsidRPr="00C07BE5" w:rsidRDefault="00294016" w:rsidP="00F55A8A">
      <w:pPr>
        <w:spacing w:after="0"/>
        <w:rPr>
          <w:rFonts w:cs="Times New Roman"/>
        </w:rPr>
      </w:pPr>
      <w:r w:rsidRPr="00C07BE5">
        <w:rPr>
          <w:rFonts w:cs="Times New Roman"/>
          <w:szCs w:val="24"/>
        </w:rPr>
        <w:t>HEP d.d. je 30.03., 30.06., 28.09. i 28.12.2023. uplatio redovne tromjesečne rate, svaku u iznosu od 1,32 mil. eura te je u potpunosti podmirio sve dospjele obveze prema Fondu. Rate su uplaćene u skladu s novom Uredbom u iznosu roku i načinu uplate sredstava za financiranje razgradnje i zbrinjavanje radioaktivnog otpada i istrošenog nuklearnog goriva NE Krško (NN 156/22) koja je stupila na snagu 1.1.2023.</w:t>
      </w:r>
    </w:p>
    <w:p w14:paraId="673388A6" w14:textId="77777777" w:rsidR="000534B3" w:rsidRPr="00C07BE5" w:rsidRDefault="000534B3" w:rsidP="000534B3">
      <w:pPr>
        <w:pStyle w:val="Heading3"/>
        <w:rPr>
          <w:rFonts w:ascii="Times New Roman" w:hAnsi="Times New Roman" w:cs="Times New Roman"/>
          <w:sz w:val="28"/>
          <w:szCs w:val="28"/>
        </w:rPr>
      </w:pPr>
      <w:bookmarkStart w:id="26" w:name="_Toc126912880"/>
      <w:bookmarkStart w:id="27" w:name="_Toc80697092"/>
      <w:bookmarkStart w:id="28" w:name="_Toc127350254"/>
      <w:bookmarkStart w:id="29" w:name="_Toc158992027"/>
      <w:bookmarkEnd w:id="26"/>
      <w:r w:rsidRPr="00C07BE5">
        <w:rPr>
          <w:rFonts w:ascii="Times New Roman" w:hAnsi="Times New Roman" w:cs="Times New Roman"/>
          <w:sz w:val="28"/>
          <w:szCs w:val="28"/>
        </w:rPr>
        <w:t>Investiranje sredstava</w:t>
      </w:r>
      <w:bookmarkEnd w:id="27"/>
      <w:bookmarkEnd w:id="28"/>
      <w:bookmarkEnd w:id="29"/>
    </w:p>
    <w:p w14:paraId="6801FF01" w14:textId="13F529E2" w:rsidR="00294016" w:rsidRPr="00C07BE5" w:rsidRDefault="00294016" w:rsidP="00F55A8A">
      <w:pPr>
        <w:rPr>
          <w:rFonts w:cs="Times New Roman"/>
          <w:szCs w:val="24"/>
        </w:rPr>
      </w:pPr>
      <w:r w:rsidRPr="00C07BE5">
        <w:rPr>
          <w:rFonts w:cs="Times New Roman"/>
          <w:szCs w:val="24"/>
        </w:rPr>
        <w:t>Tijekom 2023. godine izvršene su 164 kupoprodajne transakcije vrijednosnim papirima u iznosu od 72,</w:t>
      </w:r>
      <w:r w:rsidR="00716BFE" w:rsidRPr="00C07BE5">
        <w:rPr>
          <w:rFonts w:cs="Times New Roman"/>
          <w:szCs w:val="24"/>
        </w:rPr>
        <w:t>1</w:t>
      </w:r>
      <w:r w:rsidRPr="00C07BE5">
        <w:rPr>
          <w:rFonts w:cs="Times New Roman"/>
          <w:szCs w:val="24"/>
        </w:rPr>
        <w:t xml:space="preserve"> mil. eura kako slijedi:</w:t>
      </w:r>
    </w:p>
    <w:p w14:paraId="3229A25D" w14:textId="55410B29" w:rsidR="00294016" w:rsidRPr="00C07BE5" w:rsidRDefault="00294016" w:rsidP="00F55A8A">
      <w:pPr>
        <w:pStyle w:val="ListParagraph"/>
        <w:numPr>
          <w:ilvl w:val="0"/>
          <w:numId w:val="6"/>
        </w:numPr>
        <w:spacing w:after="120"/>
        <w:ind w:left="397" w:right="0" w:hanging="357"/>
        <w:contextualSpacing w:val="0"/>
        <w:rPr>
          <w:rFonts w:cs="Times New Roman"/>
          <w:szCs w:val="24"/>
        </w:rPr>
      </w:pPr>
      <w:r w:rsidRPr="00C07BE5">
        <w:rPr>
          <w:rFonts w:cs="Times New Roman"/>
          <w:b/>
          <w:bCs/>
          <w:szCs w:val="24"/>
        </w:rPr>
        <w:t>obveznice - kupnja</w:t>
      </w:r>
      <w:r w:rsidRPr="00C07BE5">
        <w:rPr>
          <w:rFonts w:cs="Times New Roman"/>
          <w:szCs w:val="24"/>
        </w:rPr>
        <w:t xml:space="preserve"> u ukupnom iznosu od 25,2 mil. eura (17 transakcija)</w:t>
      </w:r>
      <w:r w:rsidR="00693487" w:rsidRPr="00C07BE5">
        <w:rPr>
          <w:rFonts w:cs="Times New Roman"/>
          <w:szCs w:val="24"/>
        </w:rPr>
        <w:t xml:space="preserve">, te </w:t>
      </w:r>
      <w:r w:rsidRPr="00C07BE5">
        <w:rPr>
          <w:rFonts w:cs="Times New Roman"/>
          <w:b/>
          <w:bCs/>
          <w:szCs w:val="24"/>
        </w:rPr>
        <w:t>prodaja</w:t>
      </w:r>
      <w:r w:rsidRPr="00C07BE5">
        <w:rPr>
          <w:rFonts w:cs="Times New Roman"/>
          <w:szCs w:val="24"/>
        </w:rPr>
        <w:t xml:space="preserve"> u ukupnom iznosu od 6,8 mil. eura (6 transakcija)</w:t>
      </w:r>
      <w:r w:rsidR="00693487" w:rsidRPr="00C07BE5">
        <w:rPr>
          <w:rFonts w:cs="Times New Roman"/>
          <w:szCs w:val="24"/>
        </w:rPr>
        <w:t>;</w:t>
      </w:r>
      <w:r w:rsidRPr="00C07BE5">
        <w:rPr>
          <w:rFonts w:cs="Times New Roman"/>
          <w:szCs w:val="24"/>
        </w:rPr>
        <w:t xml:space="preserve"> </w:t>
      </w:r>
    </w:p>
    <w:p w14:paraId="6A1FCCE2" w14:textId="4707B56B" w:rsidR="00294016" w:rsidRPr="00C07BE5" w:rsidRDefault="00294016" w:rsidP="00F55A8A">
      <w:pPr>
        <w:pStyle w:val="ListParagraph"/>
        <w:numPr>
          <w:ilvl w:val="0"/>
          <w:numId w:val="6"/>
        </w:numPr>
        <w:spacing w:after="120"/>
        <w:ind w:left="397" w:right="0" w:hanging="357"/>
        <w:contextualSpacing w:val="0"/>
        <w:rPr>
          <w:rFonts w:cs="Times New Roman"/>
          <w:szCs w:val="24"/>
        </w:rPr>
      </w:pPr>
      <w:r w:rsidRPr="00C07BE5">
        <w:rPr>
          <w:rFonts w:cs="Times New Roman"/>
          <w:b/>
          <w:bCs/>
          <w:szCs w:val="24"/>
        </w:rPr>
        <w:t>dionice - kupnja</w:t>
      </w:r>
      <w:r w:rsidRPr="00C07BE5">
        <w:rPr>
          <w:rFonts w:cs="Times New Roman"/>
          <w:szCs w:val="24"/>
        </w:rPr>
        <w:t xml:space="preserve"> u ukupnom iznosu od 1,4 mil. eura (12 transakcija)</w:t>
      </w:r>
      <w:r w:rsidR="00693487" w:rsidRPr="00C07BE5">
        <w:rPr>
          <w:rFonts w:cs="Times New Roman"/>
          <w:szCs w:val="24"/>
        </w:rPr>
        <w:t xml:space="preserve"> te </w:t>
      </w:r>
      <w:r w:rsidRPr="00C07BE5">
        <w:rPr>
          <w:rFonts w:cs="Times New Roman"/>
          <w:b/>
          <w:bCs/>
          <w:szCs w:val="24"/>
        </w:rPr>
        <w:t>prodaja</w:t>
      </w:r>
      <w:r w:rsidRPr="00C07BE5">
        <w:rPr>
          <w:rFonts w:cs="Times New Roman"/>
          <w:szCs w:val="24"/>
        </w:rPr>
        <w:t xml:space="preserve"> u ukupnom iznosu od 5,9 mil. eura (70 transakcija);</w:t>
      </w:r>
    </w:p>
    <w:p w14:paraId="6D0314E9" w14:textId="6ED48FB9" w:rsidR="00294016" w:rsidRPr="00C07BE5" w:rsidRDefault="00294016" w:rsidP="00F55A8A">
      <w:pPr>
        <w:pStyle w:val="ListParagraph"/>
        <w:numPr>
          <w:ilvl w:val="0"/>
          <w:numId w:val="6"/>
        </w:numPr>
        <w:spacing w:after="120"/>
        <w:ind w:left="397" w:right="0" w:hanging="357"/>
        <w:contextualSpacing w:val="0"/>
        <w:rPr>
          <w:rFonts w:cs="Times New Roman"/>
          <w:szCs w:val="24"/>
        </w:rPr>
      </w:pPr>
      <w:r w:rsidRPr="00C07BE5">
        <w:rPr>
          <w:rFonts w:cs="Times New Roman"/>
          <w:b/>
          <w:bCs/>
          <w:szCs w:val="24"/>
        </w:rPr>
        <w:t>fondovi - kupnja</w:t>
      </w:r>
      <w:r w:rsidRPr="00C07BE5">
        <w:rPr>
          <w:rFonts w:cs="Times New Roman"/>
          <w:szCs w:val="24"/>
        </w:rPr>
        <w:t xml:space="preserve"> u ukupnom iznosu od 20,3 mil. eura (46 transakcija)</w:t>
      </w:r>
      <w:r w:rsidR="00693487" w:rsidRPr="00C07BE5">
        <w:rPr>
          <w:rFonts w:cs="Times New Roman"/>
          <w:szCs w:val="24"/>
        </w:rPr>
        <w:t xml:space="preserve"> te </w:t>
      </w:r>
      <w:r w:rsidRPr="00C07BE5">
        <w:rPr>
          <w:rFonts w:cs="Times New Roman"/>
          <w:b/>
          <w:bCs/>
          <w:szCs w:val="24"/>
        </w:rPr>
        <w:t>prodaja</w:t>
      </w:r>
      <w:r w:rsidRPr="00C07BE5">
        <w:rPr>
          <w:rFonts w:cs="Times New Roman"/>
          <w:szCs w:val="24"/>
        </w:rPr>
        <w:t xml:space="preserve"> u ukupnom iznosu od 12,5 mil. eura (13 transakcija)</w:t>
      </w:r>
      <w:r w:rsidR="00693487" w:rsidRPr="00C07BE5">
        <w:rPr>
          <w:rFonts w:cs="Times New Roman"/>
          <w:szCs w:val="24"/>
        </w:rPr>
        <w:t>;</w:t>
      </w:r>
      <w:r w:rsidRPr="00C07BE5">
        <w:rPr>
          <w:rFonts w:cs="Times New Roman"/>
          <w:szCs w:val="24"/>
        </w:rPr>
        <w:t xml:space="preserve"> </w:t>
      </w:r>
    </w:p>
    <w:p w14:paraId="50901B3D" w14:textId="47106B95" w:rsidR="00946158" w:rsidRPr="00C07BE5" w:rsidRDefault="00946158" w:rsidP="00946158">
      <w:pPr>
        <w:rPr>
          <w:rFonts w:cs="Times New Roman"/>
          <w:szCs w:val="24"/>
        </w:rPr>
      </w:pPr>
      <w:r w:rsidRPr="00C07BE5">
        <w:rPr>
          <w:rFonts w:cs="Times New Roman"/>
          <w:szCs w:val="24"/>
        </w:rPr>
        <w:t>Uz navedene transakcije s vrijednosnim papirima tijekom 2023. godine izvršeno je i :</w:t>
      </w:r>
    </w:p>
    <w:p w14:paraId="4371C309" w14:textId="09802D7F" w:rsidR="00946158" w:rsidRPr="00C07BE5" w:rsidRDefault="00946158" w:rsidP="00F55A8A">
      <w:pPr>
        <w:pStyle w:val="ListParagraph"/>
        <w:numPr>
          <w:ilvl w:val="0"/>
          <w:numId w:val="23"/>
        </w:numPr>
        <w:rPr>
          <w:rFonts w:cs="Times New Roman"/>
          <w:szCs w:val="24"/>
        </w:rPr>
      </w:pPr>
      <w:r w:rsidRPr="00C07BE5">
        <w:rPr>
          <w:rFonts w:cs="Times New Roman"/>
          <w:szCs w:val="24"/>
        </w:rPr>
        <w:t>156 transakcija oročavanja depozita u EUR i USD na rokove od 2 do 21 dana te</w:t>
      </w:r>
    </w:p>
    <w:p w14:paraId="3BEA1871" w14:textId="5EE57E98" w:rsidR="00946158" w:rsidRPr="00C07BE5" w:rsidRDefault="00946158" w:rsidP="00F55A8A">
      <w:pPr>
        <w:pStyle w:val="ListParagraph"/>
        <w:numPr>
          <w:ilvl w:val="0"/>
          <w:numId w:val="23"/>
        </w:numPr>
        <w:rPr>
          <w:rFonts w:cs="Times New Roman"/>
          <w:szCs w:val="24"/>
        </w:rPr>
      </w:pPr>
      <w:r w:rsidRPr="00C07BE5">
        <w:rPr>
          <w:rFonts w:cs="Times New Roman"/>
          <w:szCs w:val="24"/>
        </w:rPr>
        <w:t xml:space="preserve">7 </w:t>
      </w:r>
      <w:r w:rsidR="00693487" w:rsidRPr="00C07BE5">
        <w:rPr>
          <w:rFonts w:cs="Times New Roman"/>
          <w:szCs w:val="24"/>
        </w:rPr>
        <w:t>valutnih</w:t>
      </w:r>
      <w:r w:rsidRPr="00C07BE5">
        <w:rPr>
          <w:rFonts w:cs="Times New Roman"/>
          <w:szCs w:val="24"/>
        </w:rPr>
        <w:t xml:space="preserve"> transakcija </w:t>
      </w:r>
      <w:r w:rsidR="00693487" w:rsidRPr="00C07BE5">
        <w:rPr>
          <w:rFonts w:cs="Times New Roman"/>
          <w:szCs w:val="24"/>
        </w:rPr>
        <w:t xml:space="preserve">s valutnim parom </w:t>
      </w:r>
      <w:r w:rsidRPr="00C07BE5">
        <w:rPr>
          <w:rFonts w:cs="Times New Roman"/>
          <w:szCs w:val="24"/>
        </w:rPr>
        <w:t>EUR/USD.</w:t>
      </w:r>
    </w:p>
    <w:p w14:paraId="2A461DD7" w14:textId="11B3DB20" w:rsidR="00294016" w:rsidRPr="00C07BE5" w:rsidRDefault="00294016" w:rsidP="00F55A8A">
      <w:pPr>
        <w:rPr>
          <w:rFonts w:cs="Times New Roman"/>
          <w:szCs w:val="24"/>
        </w:rPr>
      </w:pPr>
      <w:r w:rsidRPr="00C07BE5">
        <w:rPr>
          <w:rFonts w:cs="Times New Roman"/>
          <w:szCs w:val="24"/>
        </w:rPr>
        <w:t>Na dan 31. 12. 2023. valutna struktura financijskih sredstava je izgledala na sljedeći način:</w:t>
      </w:r>
    </w:p>
    <w:p w14:paraId="5EF389DC" w14:textId="77777777" w:rsidR="00294016" w:rsidRPr="00C07BE5" w:rsidRDefault="00294016" w:rsidP="00F55A8A">
      <w:pPr>
        <w:pStyle w:val="ListParagraph"/>
        <w:numPr>
          <w:ilvl w:val="0"/>
          <w:numId w:val="8"/>
        </w:numPr>
        <w:spacing w:after="0"/>
        <w:ind w:left="681" w:right="0" w:hanging="357"/>
        <w:rPr>
          <w:rFonts w:cs="Times New Roman"/>
          <w:szCs w:val="24"/>
        </w:rPr>
      </w:pPr>
      <w:r w:rsidRPr="00C07BE5">
        <w:rPr>
          <w:rFonts w:cs="Times New Roman"/>
          <w:szCs w:val="24"/>
        </w:rPr>
        <w:t xml:space="preserve">99,20% financijske imovine je u eurima (EUR), a  </w:t>
      </w:r>
    </w:p>
    <w:p w14:paraId="3FFCA513" w14:textId="77777777" w:rsidR="00294016" w:rsidRPr="00C07BE5" w:rsidRDefault="00294016" w:rsidP="00F55A8A">
      <w:pPr>
        <w:pStyle w:val="ListParagraph"/>
        <w:numPr>
          <w:ilvl w:val="0"/>
          <w:numId w:val="8"/>
        </w:numPr>
        <w:spacing w:after="0"/>
        <w:ind w:left="681" w:right="0" w:hanging="357"/>
        <w:rPr>
          <w:rFonts w:cs="Times New Roman"/>
          <w:szCs w:val="24"/>
        </w:rPr>
      </w:pPr>
      <w:r w:rsidRPr="00C07BE5">
        <w:rPr>
          <w:rFonts w:cs="Times New Roman"/>
          <w:szCs w:val="24"/>
        </w:rPr>
        <w:t>0,80% je u američkim dolarima (USD).</w:t>
      </w:r>
    </w:p>
    <w:p w14:paraId="09B9CBB5" w14:textId="77777777" w:rsidR="007B7B4D" w:rsidRPr="00C07BE5" w:rsidRDefault="007B7B4D" w:rsidP="007B7B4D">
      <w:pPr>
        <w:pStyle w:val="ListParagraph"/>
        <w:spacing w:after="0"/>
        <w:ind w:left="1418" w:right="0"/>
      </w:pPr>
    </w:p>
    <w:p w14:paraId="5B1A4C71" w14:textId="5277C0FF" w:rsidR="000534B3" w:rsidRPr="00C07BE5" w:rsidRDefault="000534B3" w:rsidP="000534B3">
      <w:pPr>
        <w:pStyle w:val="Heading2"/>
        <w:rPr>
          <w:rFonts w:ascii="Times New Roman" w:hAnsi="Times New Roman" w:cs="Times New Roman"/>
        </w:rPr>
      </w:pPr>
      <w:bookmarkStart w:id="30" w:name="_Toc80697093"/>
      <w:bookmarkStart w:id="31" w:name="_Toc127350255"/>
      <w:bookmarkStart w:id="32" w:name="_Toc158992028"/>
      <w:r w:rsidRPr="00C07BE5">
        <w:rPr>
          <w:rFonts w:ascii="Times New Roman" w:hAnsi="Times New Roman" w:cs="Times New Roman"/>
        </w:rPr>
        <w:t>Zbrinjavanje radioaktivnog otpada</w:t>
      </w:r>
      <w:bookmarkEnd w:id="30"/>
      <w:bookmarkEnd w:id="31"/>
      <w:bookmarkEnd w:id="32"/>
    </w:p>
    <w:p w14:paraId="00F52395" w14:textId="1F872896" w:rsidR="000534B3" w:rsidRPr="00C07BE5" w:rsidRDefault="007F647B" w:rsidP="0084520A">
      <w:pPr>
        <w:pStyle w:val="Heading3"/>
        <w:rPr>
          <w:rFonts w:ascii="Times New Roman" w:hAnsi="Times New Roman" w:cs="Times New Roman"/>
          <w:sz w:val="28"/>
          <w:szCs w:val="28"/>
        </w:rPr>
      </w:pPr>
      <w:bookmarkStart w:id="33" w:name="_Toc80697094"/>
      <w:bookmarkStart w:id="34" w:name="_Toc127350256"/>
      <w:bookmarkStart w:id="35" w:name="_Toc158992029"/>
      <w:r w:rsidRPr="00C07BE5">
        <w:rPr>
          <w:rFonts w:ascii="Times New Roman" w:hAnsi="Times New Roman" w:cs="Times New Roman"/>
          <w:sz w:val="28"/>
          <w:szCs w:val="28"/>
        </w:rPr>
        <w:t>R</w:t>
      </w:r>
      <w:r w:rsidR="000534B3" w:rsidRPr="00C07BE5">
        <w:rPr>
          <w:rFonts w:ascii="Times New Roman" w:hAnsi="Times New Roman" w:cs="Times New Roman"/>
          <w:sz w:val="28"/>
          <w:szCs w:val="28"/>
        </w:rPr>
        <w:t>evizij</w:t>
      </w:r>
      <w:r w:rsidRPr="00C07BE5">
        <w:rPr>
          <w:rFonts w:ascii="Times New Roman" w:hAnsi="Times New Roman" w:cs="Times New Roman"/>
          <w:sz w:val="28"/>
          <w:szCs w:val="28"/>
        </w:rPr>
        <w:t>a</w:t>
      </w:r>
      <w:r w:rsidR="000534B3" w:rsidRPr="00C07BE5">
        <w:rPr>
          <w:rFonts w:ascii="Times New Roman" w:hAnsi="Times New Roman" w:cs="Times New Roman"/>
          <w:sz w:val="28"/>
          <w:szCs w:val="28"/>
        </w:rPr>
        <w:t xml:space="preserve"> Programa razgradnje NEK-a i </w:t>
      </w:r>
      <w:r w:rsidRPr="00C07BE5">
        <w:rPr>
          <w:rFonts w:ascii="Times New Roman" w:hAnsi="Times New Roman" w:cs="Times New Roman"/>
          <w:sz w:val="28"/>
          <w:szCs w:val="28"/>
        </w:rPr>
        <w:t xml:space="preserve">Programa </w:t>
      </w:r>
      <w:r w:rsidR="000534B3" w:rsidRPr="00C07BE5">
        <w:rPr>
          <w:rFonts w:ascii="Times New Roman" w:hAnsi="Times New Roman" w:cs="Times New Roman"/>
          <w:sz w:val="28"/>
          <w:szCs w:val="28"/>
        </w:rPr>
        <w:t>odlaganja</w:t>
      </w:r>
      <w:bookmarkEnd w:id="33"/>
      <w:bookmarkEnd w:id="34"/>
      <w:r w:rsidR="00C95F5A">
        <w:rPr>
          <w:rFonts w:ascii="Times New Roman" w:hAnsi="Times New Roman" w:cs="Times New Roman"/>
          <w:sz w:val="28"/>
          <w:szCs w:val="28"/>
        </w:rPr>
        <w:t xml:space="preserve"> RAO i ING</w:t>
      </w:r>
      <w:bookmarkEnd w:id="35"/>
    </w:p>
    <w:p w14:paraId="49143486" w14:textId="52130B06" w:rsidR="007F647B" w:rsidRPr="00C07BE5" w:rsidRDefault="007F647B" w:rsidP="00881B74">
      <w:pPr>
        <w:rPr>
          <w:rFonts w:cs="Times New Roman"/>
          <w:szCs w:val="24"/>
        </w:rPr>
      </w:pPr>
      <w:r w:rsidRPr="00C07BE5">
        <w:rPr>
          <w:rFonts w:cs="Times New Roman"/>
          <w:szCs w:val="24"/>
        </w:rPr>
        <w:t>Tijekom 2023. godine nastavljen</w:t>
      </w:r>
      <w:r w:rsidR="002132E0">
        <w:rPr>
          <w:rFonts w:cs="Times New Roman"/>
          <w:szCs w:val="24"/>
        </w:rPr>
        <w:t xml:space="preserve">a je </w:t>
      </w:r>
      <w:r w:rsidRPr="00C07BE5">
        <w:rPr>
          <w:rFonts w:cs="Times New Roman"/>
          <w:szCs w:val="24"/>
        </w:rPr>
        <w:t>izrad</w:t>
      </w:r>
      <w:r w:rsidR="002132E0">
        <w:rPr>
          <w:rFonts w:cs="Times New Roman"/>
          <w:szCs w:val="24"/>
        </w:rPr>
        <w:t>a</w:t>
      </w:r>
      <w:r w:rsidRPr="00C07BE5">
        <w:rPr>
          <w:rFonts w:cs="Times New Roman"/>
          <w:szCs w:val="24"/>
        </w:rPr>
        <w:t xml:space="preserve"> potpornih studija i analiza za potrebe </w:t>
      </w:r>
      <w:r w:rsidR="002132E0">
        <w:rPr>
          <w:rFonts w:cs="Times New Roman"/>
          <w:szCs w:val="24"/>
        </w:rPr>
        <w:t>pripreme</w:t>
      </w:r>
      <w:r w:rsidRPr="00C07BE5">
        <w:rPr>
          <w:rFonts w:cs="Times New Roman"/>
          <w:szCs w:val="24"/>
        </w:rPr>
        <w:t xml:space="preserve"> Četvrte revizije Programa odlaganja RAO-a i ING-a iz NEK-a (PO) i Četvrte revizije Programa razgradnje NEK-a (PR) </w:t>
      </w:r>
      <w:r w:rsidR="00CA4743" w:rsidRPr="00C07BE5">
        <w:rPr>
          <w:rFonts w:cs="Times New Roman"/>
          <w:szCs w:val="24"/>
        </w:rPr>
        <w:t>sa slijedećim aktivnostima</w:t>
      </w:r>
      <w:r w:rsidRPr="00C07BE5">
        <w:rPr>
          <w:rFonts w:cs="Times New Roman"/>
          <w:szCs w:val="24"/>
        </w:rPr>
        <w:t xml:space="preserve">: </w:t>
      </w:r>
    </w:p>
    <w:p w14:paraId="272FCB07" w14:textId="48728261" w:rsidR="007F647B" w:rsidRPr="00C07BE5" w:rsidRDefault="007F647B" w:rsidP="00881B74">
      <w:pPr>
        <w:pStyle w:val="ListParagraph"/>
        <w:numPr>
          <w:ilvl w:val="0"/>
          <w:numId w:val="21"/>
        </w:numPr>
        <w:ind w:left="720"/>
        <w:rPr>
          <w:rFonts w:cs="Times New Roman"/>
          <w:szCs w:val="24"/>
        </w:rPr>
      </w:pPr>
      <w:r w:rsidRPr="003410A9">
        <w:rPr>
          <w:rFonts w:cs="Times New Roman"/>
          <w:b/>
          <w:bCs/>
          <w:szCs w:val="24"/>
        </w:rPr>
        <w:t>Revizija studije o podjeli i preuzimanju RAO-a</w:t>
      </w:r>
      <w:r w:rsidRPr="00C07BE5">
        <w:rPr>
          <w:rFonts w:cs="Times New Roman"/>
          <w:szCs w:val="24"/>
        </w:rPr>
        <w:t xml:space="preserve"> nastalog radom, održavanjem i razgradnjom NE Krško koja je u skladu sa zaključcima sa 16</w:t>
      </w:r>
      <w:r w:rsidR="00CA4743" w:rsidRPr="00C07BE5">
        <w:rPr>
          <w:rFonts w:cs="Times New Roman"/>
          <w:szCs w:val="24"/>
        </w:rPr>
        <w:t>.</w:t>
      </w:r>
      <w:r w:rsidRPr="00C07BE5">
        <w:rPr>
          <w:rFonts w:cs="Times New Roman"/>
          <w:szCs w:val="24"/>
        </w:rPr>
        <w:t xml:space="preserve"> sjednice Međudržavnog povjerenstva (MDP) ugovorena 2022. godine</w:t>
      </w:r>
      <w:r w:rsidR="006F2080" w:rsidRPr="00C07BE5">
        <w:rPr>
          <w:rFonts w:cs="Times New Roman"/>
          <w:szCs w:val="24"/>
        </w:rPr>
        <w:t>,</w:t>
      </w:r>
      <w:r w:rsidRPr="00C07BE5">
        <w:rPr>
          <w:rFonts w:cs="Times New Roman"/>
          <w:szCs w:val="24"/>
        </w:rPr>
        <w:t xml:space="preserve"> je završena. </w:t>
      </w:r>
      <w:r w:rsidR="00CA4743" w:rsidRPr="00C07BE5">
        <w:rPr>
          <w:rFonts w:cs="Times New Roman"/>
          <w:szCs w:val="24"/>
        </w:rPr>
        <w:t>Nakon toga</w:t>
      </w:r>
      <w:r w:rsidRPr="00C07BE5">
        <w:rPr>
          <w:rFonts w:cs="Times New Roman"/>
          <w:szCs w:val="24"/>
        </w:rPr>
        <w:t>, u skladu s odlukama sa 17. sjednice MDP-a kojima je odobreno produljenje roka početka odvoza NSRAO do početka 2028. godine, u prosincu 2023. godine</w:t>
      </w:r>
      <w:r w:rsidR="00C273BD">
        <w:rPr>
          <w:rFonts w:cs="Times New Roman"/>
          <w:szCs w:val="24"/>
        </w:rPr>
        <w:t xml:space="preserve"> pokrenuta je </w:t>
      </w:r>
      <w:r w:rsidRPr="00C07BE5">
        <w:rPr>
          <w:rFonts w:cs="Times New Roman"/>
          <w:szCs w:val="24"/>
        </w:rPr>
        <w:t>optimizacij</w:t>
      </w:r>
      <w:r w:rsidR="00C273BD">
        <w:rPr>
          <w:rFonts w:cs="Times New Roman"/>
          <w:szCs w:val="24"/>
        </w:rPr>
        <w:t>a</w:t>
      </w:r>
      <w:r w:rsidRPr="00C07BE5">
        <w:rPr>
          <w:rFonts w:cs="Times New Roman"/>
          <w:szCs w:val="24"/>
        </w:rPr>
        <w:t xml:space="preserve"> prijedloga podjele i odvoza operativnog NSRAO koji je nastao do </w:t>
      </w:r>
      <w:r w:rsidR="00C273BD">
        <w:rPr>
          <w:rFonts w:cs="Times New Roman"/>
          <w:szCs w:val="24"/>
        </w:rPr>
        <w:t xml:space="preserve">kraja </w:t>
      </w:r>
      <w:r w:rsidRPr="00C07BE5">
        <w:rPr>
          <w:rFonts w:cs="Times New Roman"/>
          <w:szCs w:val="24"/>
        </w:rPr>
        <w:t xml:space="preserve">2023. godine. </w:t>
      </w:r>
      <w:r w:rsidR="00C273BD">
        <w:rPr>
          <w:rFonts w:cs="Times New Roman"/>
          <w:szCs w:val="24"/>
        </w:rPr>
        <w:t xml:space="preserve">Završetak te aktivnosti se </w:t>
      </w:r>
      <w:r w:rsidRPr="00C07BE5">
        <w:rPr>
          <w:rFonts w:cs="Times New Roman"/>
          <w:szCs w:val="24"/>
        </w:rPr>
        <w:t xml:space="preserve">očekuje u prvom kvartalu 2024. godine. </w:t>
      </w:r>
    </w:p>
    <w:p w14:paraId="6F8C96EB" w14:textId="3E4617F7" w:rsidR="007F647B" w:rsidRPr="00C07BE5" w:rsidRDefault="000B2E7A" w:rsidP="00881B74">
      <w:pPr>
        <w:pStyle w:val="ListParagraph"/>
        <w:numPr>
          <w:ilvl w:val="0"/>
          <w:numId w:val="21"/>
        </w:numPr>
        <w:ind w:left="720"/>
        <w:rPr>
          <w:rFonts w:cs="Times New Roman"/>
          <w:szCs w:val="24"/>
        </w:rPr>
      </w:pPr>
      <w:r w:rsidRPr="00C07BE5">
        <w:rPr>
          <w:rFonts w:cs="Times New Roman"/>
          <w:szCs w:val="24"/>
        </w:rPr>
        <w:lastRenderedPageBreak/>
        <w:t xml:space="preserve">Izrada </w:t>
      </w:r>
      <w:r w:rsidR="007F647B" w:rsidRPr="003410A9">
        <w:rPr>
          <w:rFonts w:cs="Times New Roman"/>
          <w:b/>
          <w:bCs/>
          <w:szCs w:val="24"/>
        </w:rPr>
        <w:t>Studij</w:t>
      </w:r>
      <w:r w:rsidRPr="003410A9">
        <w:rPr>
          <w:rFonts w:cs="Times New Roman"/>
          <w:b/>
          <w:bCs/>
          <w:szCs w:val="24"/>
        </w:rPr>
        <w:t>e</w:t>
      </w:r>
      <w:r w:rsidR="007F647B" w:rsidRPr="003410A9">
        <w:rPr>
          <w:rFonts w:cs="Times New Roman"/>
          <w:b/>
          <w:bCs/>
          <w:szCs w:val="24"/>
        </w:rPr>
        <w:t xml:space="preserve"> procjene troškova odlaganja ING-a u duboko geološko odlagalište</w:t>
      </w:r>
      <w:r w:rsidR="007F647B" w:rsidRPr="00C07BE5">
        <w:rPr>
          <w:rFonts w:cs="Times New Roman"/>
          <w:szCs w:val="24"/>
        </w:rPr>
        <w:t xml:space="preserve">, </w:t>
      </w:r>
      <w:r w:rsidRPr="00C07BE5">
        <w:rPr>
          <w:rFonts w:cs="Times New Roman"/>
          <w:szCs w:val="24"/>
        </w:rPr>
        <w:t xml:space="preserve">započela </w:t>
      </w:r>
      <w:r w:rsidR="007F647B" w:rsidRPr="00C07BE5">
        <w:rPr>
          <w:rFonts w:cs="Times New Roman"/>
          <w:szCs w:val="24"/>
        </w:rPr>
        <w:t>je u lipnju 2023. godine. Cjeloviti prijedlog studije završen je u prosincu 2023. godine, a konačna verzija se očekuje u prvom kvartalu 2024. godine.</w:t>
      </w:r>
    </w:p>
    <w:p w14:paraId="7F86AB3B" w14:textId="2F4AB3A3" w:rsidR="007F647B" w:rsidRPr="00C07BE5" w:rsidRDefault="000B2E7A" w:rsidP="00881B74">
      <w:pPr>
        <w:pStyle w:val="ListParagraph"/>
        <w:numPr>
          <w:ilvl w:val="0"/>
          <w:numId w:val="21"/>
        </w:numPr>
        <w:ind w:left="720"/>
        <w:rPr>
          <w:rFonts w:cs="Times New Roman"/>
          <w:szCs w:val="24"/>
        </w:rPr>
      </w:pPr>
      <w:r w:rsidRPr="00C07BE5">
        <w:rPr>
          <w:rFonts w:cs="Times New Roman"/>
          <w:szCs w:val="24"/>
        </w:rPr>
        <w:t xml:space="preserve">Izrada </w:t>
      </w:r>
      <w:r w:rsidR="007F647B" w:rsidRPr="003410A9">
        <w:rPr>
          <w:rFonts w:cs="Times New Roman"/>
          <w:b/>
          <w:bCs/>
          <w:szCs w:val="24"/>
        </w:rPr>
        <w:t>Studij</w:t>
      </w:r>
      <w:r w:rsidRPr="003410A9">
        <w:rPr>
          <w:rFonts w:cs="Times New Roman"/>
          <w:b/>
          <w:bCs/>
          <w:szCs w:val="24"/>
        </w:rPr>
        <w:t>e</w:t>
      </w:r>
      <w:r w:rsidR="007F647B" w:rsidRPr="003410A9">
        <w:rPr>
          <w:rFonts w:cs="Times New Roman"/>
          <w:b/>
          <w:bCs/>
          <w:szCs w:val="24"/>
        </w:rPr>
        <w:t xml:space="preserve"> procjene troškova odlaganja ING-a u duboke bušotine (DBD</w:t>
      </w:r>
      <w:r w:rsidR="007F647B" w:rsidRPr="00C07BE5">
        <w:rPr>
          <w:rFonts w:cs="Times New Roman"/>
          <w:szCs w:val="24"/>
        </w:rPr>
        <w:t xml:space="preserve">) </w:t>
      </w:r>
      <w:r w:rsidRPr="00C07BE5">
        <w:rPr>
          <w:rFonts w:cs="Times New Roman"/>
          <w:szCs w:val="24"/>
        </w:rPr>
        <w:t xml:space="preserve">započela </w:t>
      </w:r>
      <w:r w:rsidR="007F647B" w:rsidRPr="00C07BE5">
        <w:rPr>
          <w:rFonts w:cs="Times New Roman"/>
          <w:szCs w:val="24"/>
        </w:rPr>
        <w:t>je u srpnju 2023. godine. Cjeloviti prijedlog studije završen je u prosincu 2023. godine, a konačna verzija se očekuje u prvom kvartalu 2024. godine.</w:t>
      </w:r>
    </w:p>
    <w:p w14:paraId="6C63EBFE" w14:textId="517EC876" w:rsidR="007F647B" w:rsidRPr="00C07BE5" w:rsidRDefault="007F647B" w:rsidP="00881B74">
      <w:pPr>
        <w:pStyle w:val="ListParagraph"/>
        <w:numPr>
          <w:ilvl w:val="0"/>
          <w:numId w:val="21"/>
        </w:numPr>
        <w:ind w:left="720"/>
        <w:rPr>
          <w:rFonts w:cs="Times New Roman"/>
          <w:szCs w:val="24"/>
        </w:rPr>
      </w:pPr>
      <w:r w:rsidRPr="00C07BE5">
        <w:rPr>
          <w:rFonts w:cs="Times New Roman"/>
          <w:szCs w:val="24"/>
        </w:rPr>
        <w:t xml:space="preserve">U kolovozu 2023. godine </w:t>
      </w:r>
      <w:r w:rsidR="000B2E7A" w:rsidRPr="00C07BE5">
        <w:rPr>
          <w:rFonts w:cs="Times New Roman"/>
          <w:szCs w:val="24"/>
        </w:rPr>
        <w:t xml:space="preserve">započela </w:t>
      </w:r>
      <w:r w:rsidRPr="00C07BE5">
        <w:rPr>
          <w:rFonts w:cs="Times New Roman"/>
          <w:szCs w:val="24"/>
        </w:rPr>
        <w:t xml:space="preserve">je izrada </w:t>
      </w:r>
      <w:r w:rsidRPr="003410A9">
        <w:rPr>
          <w:rFonts w:cs="Times New Roman"/>
          <w:b/>
          <w:bCs/>
          <w:szCs w:val="24"/>
        </w:rPr>
        <w:t xml:space="preserve">Razvojno-istraživačkog </w:t>
      </w:r>
      <w:r w:rsidR="00552CC5" w:rsidRPr="003410A9">
        <w:rPr>
          <w:rFonts w:cs="Times New Roman"/>
          <w:b/>
          <w:bCs/>
          <w:szCs w:val="24"/>
        </w:rPr>
        <w:t>p</w:t>
      </w:r>
      <w:r w:rsidRPr="003410A9">
        <w:rPr>
          <w:rFonts w:cs="Times New Roman"/>
          <w:b/>
          <w:bCs/>
          <w:szCs w:val="24"/>
        </w:rPr>
        <w:t>rograma (RD&amp;D program)</w:t>
      </w:r>
      <w:r w:rsidRPr="00C07BE5">
        <w:rPr>
          <w:rFonts w:cs="Times New Roman"/>
          <w:szCs w:val="24"/>
        </w:rPr>
        <w:t xml:space="preserve"> za zajedničko odlaganje ING-a i visokoradioaktivnog otpada (VRAO) u duboko geološko odlagalište u Hrvatskoj ili Sloveniji. Izrada Programa je u tijeku</w:t>
      </w:r>
      <w:r w:rsidR="00552CC5" w:rsidRPr="00C07BE5">
        <w:rPr>
          <w:rFonts w:cs="Times New Roman"/>
          <w:szCs w:val="24"/>
        </w:rPr>
        <w:t>,</w:t>
      </w:r>
      <w:r w:rsidRPr="00C07BE5">
        <w:rPr>
          <w:rFonts w:cs="Times New Roman"/>
          <w:szCs w:val="24"/>
        </w:rPr>
        <w:t xml:space="preserve"> a cjeloviti prijedlog se očekuje u </w:t>
      </w:r>
      <w:r w:rsidR="00552CC5" w:rsidRPr="00C07BE5">
        <w:rPr>
          <w:rFonts w:cs="Times New Roman"/>
          <w:szCs w:val="24"/>
        </w:rPr>
        <w:t xml:space="preserve">travnju </w:t>
      </w:r>
      <w:r w:rsidRPr="00C07BE5">
        <w:rPr>
          <w:rFonts w:cs="Times New Roman"/>
          <w:szCs w:val="24"/>
        </w:rPr>
        <w:t>2024. godine.</w:t>
      </w:r>
    </w:p>
    <w:p w14:paraId="50616F53" w14:textId="294223BF" w:rsidR="007F647B" w:rsidRPr="00C07BE5" w:rsidRDefault="007F647B" w:rsidP="00881B74">
      <w:pPr>
        <w:pStyle w:val="ListParagraph"/>
        <w:numPr>
          <w:ilvl w:val="0"/>
          <w:numId w:val="21"/>
        </w:numPr>
        <w:ind w:left="720"/>
        <w:rPr>
          <w:rFonts w:cs="Times New Roman"/>
          <w:szCs w:val="24"/>
        </w:rPr>
      </w:pPr>
      <w:r w:rsidRPr="00C07BE5">
        <w:rPr>
          <w:rFonts w:cs="Times New Roman"/>
          <w:szCs w:val="24"/>
        </w:rPr>
        <w:t xml:space="preserve">Krajem 2023. godine </w:t>
      </w:r>
      <w:r w:rsidR="000B2E7A" w:rsidRPr="00C07BE5">
        <w:rPr>
          <w:rFonts w:cs="Times New Roman"/>
          <w:szCs w:val="24"/>
        </w:rPr>
        <w:t>započela je izrada</w:t>
      </w:r>
      <w:r w:rsidRPr="00C07BE5">
        <w:rPr>
          <w:rFonts w:cs="Times New Roman"/>
          <w:szCs w:val="24"/>
        </w:rPr>
        <w:t xml:space="preserve"> </w:t>
      </w:r>
      <w:r w:rsidRPr="003410A9">
        <w:rPr>
          <w:rFonts w:cs="Times New Roman"/>
          <w:b/>
          <w:bCs/>
          <w:szCs w:val="24"/>
        </w:rPr>
        <w:t>Revizij</w:t>
      </w:r>
      <w:r w:rsidR="000B2E7A" w:rsidRPr="003410A9">
        <w:rPr>
          <w:rFonts w:cs="Times New Roman"/>
          <w:b/>
          <w:bCs/>
          <w:szCs w:val="24"/>
        </w:rPr>
        <w:t>e</w:t>
      </w:r>
      <w:r w:rsidRPr="003410A9">
        <w:rPr>
          <w:rFonts w:cs="Times New Roman"/>
          <w:b/>
          <w:bCs/>
          <w:szCs w:val="24"/>
        </w:rPr>
        <w:t xml:space="preserve"> studije određivanja diskontne stope za potrebe izračuna diskontiranih troškova</w:t>
      </w:r>
      <w:r w:rsidRPr="00C07BE5">
        <w:rPr>
          <w:rFonts w:cs="Times New Roman"/>
          <w:szCs w:val="24"/>
        </w:rPr>
        <w:t xml:space="preserve">, te potrebnih prinosa Fonda i anuiteta koje HEP treba uplaćivati u Fond za potrebe financiranja razgradnje i </w:t>
      </w:r>
      <w:r w:rsidR="00552CC5" w:rsidRPr="00C07BE5">
        <w:rPr>
          <w:rFonts w:cs="Times New Roman"/>
          <w:szCs w:val="24"/>
        </w:rPr>
        <w:t xml:space="preserve">zbrinjavanja </w:t>
      </w:r>
      <w:r w:rsidRPr="00C07BE5">
        <w:rPr>
          <w:rFonts w:cs="Times New Roman"/>
          <w:szCs w:val="24"/>
        </w:rPr>
        <w:t>RAO-a i ING-a iz NEK-a.</w:t>
      </w:r>
      <w:r w:rsidR="00E3516B">
        <w:rPr>
          <w:rFonts w:cs="Times New Roman"/>
          <w:szCs w:val="24"/>
        </w:rPr>
        <w:t xml:space="preserve"> Dokument će biti dovršen u prvom kvartalu 2024. </w:t>
      </w:r>
    </w:p>
    <w:p w14:paraId="44F8AD53" w14:textId="3E20BA12" w:rsidR="007F647B" w:rsidRPr="00C07BE5" w:rsidRDefault="007F647B" w:rsidP="00881B74">
      <w:pPr>
        <w:pStyle w:val="ListParagraph"/>
        <w:numPr>
          <w:ilvl w:val="0"/>
          <w:numId w:val="21"/>
        </w:numPr>
        <w:ind w:left="720"/>
        <w:rPr>
          <w:rFonts w:cs="Times New Roman"/>
          <w:szCs w:val="24"/>
        </w:rPr>
      </w:pPr>
      <w:r w:rsidRPr="00C07BE5">
        <w:rPr>
          <w:rFonts w:cs="Times New Roman"/>
          <w:szCs w:val="24"/>
        </w:rPr>
        <w:t xml:space="preserve">Započeta je izrada dokumenta </w:t>
      </w:r>
      <w:r w:rsidRPr="003410A9">
        <w:rPr>
          <w:rFonts w:cs="Times New Roman"/>
          <w:b/>
          <w:bCs/>
          <w:szCs w:val="24"/>
        </w:rPr>
        <w:t>4. Revizije</w:t>
      </w:r>
      <w:r w:rsidR="00552CC5" w:rsidRPr="003410A9">
        <w:rPr>
          <w:rFonts w:cs="Times New Roman"/>
          <w:b/>
          <w:bCs/>
          <w:szCs w:val="24"/>
        </w:rPr>
        <w:t xml:space="preserve"> </w:t>
      </w:r>
      <w:r w:rsidR="00E3516B" w:rsidRPr="003410A9">
        <w:rPr>
          <w:rFonts w:cs="Times New Roman"/>
          <w:b/>
          <w:bCs/>
          <w:szCs w:val="24"/>
        </w:rPr>
        <w:t>Programa odlaganja</w:t>
      </w:r>
      <w:r w:rsidR="00E3516B">
        <w:rPr>
          <w:rFonts w:cs="Times New Roman"/>
          <w:szCs w:val="24"/>
        </w:rPr>
        <w:t xml:space="preserve">, nacrt dokumenta biti će gotovo u </w:t>
      </w:r>
      <w:r w:rsidRPr="00C07BE5">
        <w:rPr>
          <w:rFonts w:cs="Times New Roman"/>
          <w:szCs w:val="24"/>
        </w:rPr>
        <w:t>drug</w:t>
      </w:r>
      <w:r w:rsidR="00E3516B">
        <w:rPr>
          <w:rFonts w:cs="Times New Roman"/>
          <w:szCs w:val="24"/>
        </w:rPr>
        <w:t>om</w:t>
      </w:r>
      <w:r w:rsidRPr="00C07BE5">
        <w:rPr>
          <w:rFonts w:cs="Times New Roman"/>
          <w:szCs w:val="24"/>
        </w:rPr>
        <w:t xml:space="preserve"> kvartal</w:t>
      </w:r>
      <w:r w:rsidR="00E3516B">
        <w:rPr>
          <w:rFonts w:cs="Times New Roman"/>
          <w:szCs w:val="24"/>
        </w:rPr>
        <w:t>u</w:t>
      </w:r>
      <w:r w:rsidRPr="00C07BE5">
        <w:rPr>
          <w:rFonts w:cs="Times New Roman"/>
          <w:szCs w:val="24"/>
        </w:rPr>
        <w:t xml:space="preserve"> 2024. </w:t>
      </w:r>
    </w:p>
    <w:p w14:paraId="08678279" w14:textId="77777777" w:rsidR="007F647B" w:rsidRPr="00C07BE5" w:rsidRDefault="007F647B" w:rsidP="00881B74">
      <w:pPr>
        <w:rPr>
          <w:rFonts w:cs="Times New Roman"/>
          <w:szCs w:val="24"/>
        </w:rPr>
      </w:pPr>
      <w:r w:rsidRPr="00C07BE5">
        <w:rPr>
          <w:rFonts w:cs="Times New Roman"/>
          <w:szCs w:val="24"/>
        </w:rPr>
        <w:t xml:space="preserve">Konačni prijedlog </w:t>
      </w:r>
      <w:r w:rsidRPr="003410A9">
        <w:rPr>
          <w:rFonts w:cs="Times New Roman"/>
          <w:b/>
          <w:bCs/>
          <w:szCs w:val="24"/>
        </w:rPr>
        <w:t>Programa razgradnje NEK</w:t>
      </w:r>
      <w:r w:rsidRPr="00C07BE5">
        <w:rPr>
          <w:rFonts w:cs="Times New Roman"/>
          <w:szCs w:val="24"/>
        </w:rPr>
        <w:t xml:space="preserve"> i popratnih studija završen je u prosincu 2023. godine. </w:t>
      </w:r>
    </w:p>
    <w:p w14:paraId="2BAF2B6A" w14:textId="112C4154" w:rsidR="00EA640A" w:rsidRPr="00C07BE5" w:rsidRDefault="00ED2150" w:rsidP="00881B74">
      <w:pPr>
        <w:rPr>
          <w:rFonts w:cs="Times New Roman"/>
          <w:szCs w:val="24"/>
        </w:rPr>
      </w:pPr>
      <w:r>
        <w:rPr>
          <w:rFonts w:cs="Times New Roman"/>
          <w:szCs w:val="24"/>
        </w:rPr>
        <w:t xml:space="preserve">Napredak aktivnosti na izradi 4. revizije PR i PO te provedbi aktivnosti koje su proizašle iz 3. revizije navedenih programa pratilo je </w:t>
      </w:r>
      <w:r w:rsidR="007F647B" w:rsidRPr="00C07BE5">
        <w:rPr>
          <w:rFonts w:cs="Times New Roman"/>
          <w:szCs w:val="24"/>
        </w:rPr>
        <w:t>Koordinacijsk</w:t>
      </w:r>
      <w:r>
        <w:rPr>
          <w:rFonts w:cs="Times New Roman"/>
          <w:szCs w:val="24"/>
        </w:rPr>
        <w:t>i</w:t>
      </w:r>
      <w:r w:rsidR="007F647B" w:rsidRPr="00C07BE5">
        <w:rPr>
          <w:rFonts w:cs="Times New Roman"/>
          <w:szCs w:val="24"/>
        </w:rPr>
        <w:t xml:space="preserve"> odbor (KO) kojeg je imenovalo Međudržavno povjerenstvo (MDP) za praćenje provedbe Međudržavnog ugovora. </w:t>
      </w:r>
      <w:r>
        <w:rPr>
          <w:rFonts w:cs="Times New Roman"/>
          <w:szCs w:val="24"/>
        </w:rPr>
        <w:t xml:space="preserve">U 2023. održano je 6 sastanaka </w:t>
      </w:r>
      <w:r w:rsidR="001156CE">
        <w:rPr>
          <w:rFonts w:cs="Times New Roman"/>
          <w:szCs w:val="24"/>
        </w:rPr>
        <w:t>koordinacijskog odbora, predstavnika NEK-a i stručnih organizacija iz Hrvatske (F</w:t>
      </w:r>
      <w:r w:rsidR="003410A9">
        <w:rPr>
          <w:rFonts w:cs="Times New Roman"/>
          <w:szCs w:val="24"/>
        </w:rPr>
        <w:t>ond</w:t>
      </w:r>
      <w:r w:rsidR="001156CE">
        <w:rPr>
          <w:rFonts w:cs="Times New Roman"/>
          <w:szCs w:val="24"/>
        </w:rPr>
        <w:t>) i Slovenije (ARAO) zaduženih za zbrinjavanje RAO.</w:t>
      </w:r>
    </w:p>
    <w:p w14:paraId="20406924" w14:textId="0EA67F7F" w:rsidR="00F426A2" w:rsidRPr="00C07BE5" w:rsidRDefault="007F647B" w:rsidP="00F426A2">
      <w:pPr>
        <w:pStyle w:val="Heading3"/>
        <w:ind w:left="567"/>
        <w:rPr>
          <w:rFonts w:ascii="Times New Roman" w:hAnsi="Times New Roman" w:cs="Times New Roman"/>
          <w:sz w:val="28"/>
          <w:szCs w:val="28"/>
        </w:rPr>
      </w:pPr>
      <w:bookmarkStart w:id="36" w:name="_Toc158992030"/>
      <w:r w:rsidRPr="00C07BE5">
        <w:rPr>
          <w:rFonts w:ascii="Times New Roman" w:hAnsi="Times New Roman" w:cs="Times New Roman"/>
          <w:sz w:val="28"/>
          <w:szCs w:val="28"/>
        </w:rPr>
        <w:t>Provedba Nacionalnog programa i Strategije</w:t>
      </w:r>
      <w:bookmarkEnd w:id="36"/>
    </w:p>
    <w:p w14:paraId="364903B6" w14:textId="77777777" w:rsidR="007F647B" w:rsidRPr="00C07BE5" w:rsidRDefault="007F647B" w:rsidP="00881B74">
      <w:pPr>
        <w:spacing w:after="0"/>
        <w:rPr>
          <w:rFonts w:cs="Times New Roman"/>
          <w:szCs w:val="24"/>
        </w:rPr>
      </w:pPr>
      <w:r w:rsidRPr="00C07BE5">
        <w:rPr>
          <w:rFonts w:cs="Times New Roman"/>
          <w:szCs w:val="24"/>
        </w:rPr>
        <w:t>Međunarodna agencija za atomsku energiju (IAEA) razvila je projekt ARTEMIS (</w:t>
      </w:r>
      <w:r w:rsidRPr="00C07BE5">
        <w:rPr>
          <w:rFonts w:cs="Times New Roman"/>
          <w:i/>
          <w:iCs/>
          <w:szCs w:val="24"/>
        </w:rPr>
        <w:t>Integrated Expert Peer Review Service for Radioactive Waste and Spent Fuel Management, Decommissioning and Remediation Programmes</w:t>
      </w:r>
      <w:r w:rsidRPr="00C07BE5">
        <w:rPr>
          <w:rFonts w:cs="Times New Roman"/>
          <w:szCs w:val="24"/>
        </w:rPr>
        <w:t xml:space="preserve">) koji omogućuje nezavisni i transparentni stručni pregled nacionalnih programa zbrinjavanja radioaktivnog otpada i iskorištenog goriva, te razgradnje nuklearnih elektrana, uključivo i nezavisni pregled u skladu s obvezama iz članka 71. Zakona o radiološkoj i nuklearnoj sigurnosti kojim su prenesene obveze iz članka 14. stavka 3. Direktive 2011/70/Euratom. </w:t>
      </w:r>
    </w:p>
    <w:p w14:paraId="2A202D98" w14:textId="5DF9AD28" w:rsidR="007F647B" w:rsidRPr="00C07BE5" w:rsidRDefault="007F647B" w:rsidP="005E3FE3">
      <w:pPr>
        <w:rPr>
          <w:rFonts w:cs="Times New Roman"/>
          <w:szCs w:val="24"/>
        </w:rPr>
      </w:pPr>
      <w:r w:rsidRPr="00C07BE5">
        <w:rPr>
          <w:rFonts w:cs="Times New Roman"/>
          <w:szCs w:val="24"/>
        </w:rPr>
        <w:t>ARTEMIS Misija u Hrvatskoj je održana od 11. do 19. lipnja 2023. godine, a Fond je bio domaćin misije. Misija je obuhvatila sve aspekte i teme vezane za zbrinjavanje radioaktivnog otpada, a temeljila se na IAEA-inim sigurnosnim standardima, tehničkim smjernicama i međunarodnim dobrim praksama. U završnom izvješću Artemis tima dano je 1</w:t>
      </w:r>
      <w:r w:rsidR="00ED1175">
        <w:rPr>
          <w:rFonts w:cs="Times New Roman"/>
          <w:szCs w:val="24"/>
        </w:rPr>
        <w:t>1</w:t>
      </w:r>
      <w:r w:rsidRPr="00C07BE5">
        <w:rPr>
          <w:rFonts w:cs="Times New Roman"/>
          <w:szCs w:val="24"/>
        </w:rPr>
        <w:t xml:space="preserve"> preporuka i 5 prijedloga, od kojih se 4 odnos</w:t>
      </w:r>
      <w:r w:rsidR="003410A9">
        <w:rPr>
          <w:rFonts w:cs="Times New Roman"/>
          <w:szCs w:val="24"/>
        </w:rPr>
        <w:t>e</w:t>
      </w:r>
      <w:r w:rsidRPr="00C07BE5">
        <w:rPr>
          <w:rFonts w:cs="Times New Roman"/>
          <w:szCs w:val="24"/>
        </w:rPr>
        <w:t xml:space="preserve"> na rad Fonda. </w:t>
      </w:r>
    </w:p>
    <w:p w14:paraId="2F81D6D8" w14:textId="29FE368F" w:rsidR="007F647B" w:rsidRPr="00C07BE5" w:rsidRDefault="007F647B" w:rsidP="005E3FE3">
      <w:pPr>
        <w:rPr>
          <w:rFonts w:cs="Times New Roman"/>
          <w:szCs w:val="24"/>
        </w:rPr>
      </w:pPr>
      <w:r w:rsidRPr="00C07BE5">
        <w:rPr>
          <w:rFonts w:cs="Times New Roman"/>
          <w:szCs w:val="24"/>
        </w:rPr>
        <w:t>Pr</w:t>
      </w:r>
      <w:r w:rsidR="000637DD">
        <w:rPr>
          <w:rFonts w:cs="Times New Roman"/>
          <w:szCs w:val="24"/>
        </w:rPr>
        <w:t>ijedlog se odnosi</w:t>
      </w:r>
      <w:r w:rsidRPr="00C07BE5">
        <w:rPr>
          <w:rFonts w:cs="Times New Roman"/>
          <w:szCs w:val="24"/>
        </w:rPr>
        <w:t xml:space="preserve"> na potrebu razmatranja alternativnih strategija skladištenja otpada u slučaju da odlagalište </w:t>
      </w:r>
      <w:r w:rsidR="00400BA3" w:rsidRPr="00C07BE5">
        <w:rPr>
          <w:rFonts w:cs="Times New Roman"/>
          <w:szCs w:val="24"/>
        </w:rPr>
        <w:t xml:space="preserve">NSRAO </w:t>
      </w:r>
      <w:r w:rsidRPr="00C07BE5">
        <w:rPr>
          <w:rFonts w:cs="Times New Roman"/>
          <w:szCs w:val="24"/>
        </w:rPr>
        <w:t xml:space="preserve">ne bude spremno u trenutku kada je Hrvatska obvezna preuzeti preostali dio otpada iz NE Krško, </w:t>
      </w:r>
      <w:r w:rsidR="000637DD">
        <w:rPr>
          <w:rFonts w:cs="Times New Roman"/>
          <w:szCs w:val="24"/>
        </w:rPr>
        <w:t xml:space="preserve">a preporuka na </w:t>
      </w:r>
      <w:r w:rsidRPr="00C07BE5">
        <w:rPr>
          <w:rFonts w:cs="Times New Roman"/>
          <w:szCs w:val="24"/>
        </w:rPr>
        <w:t xml:space="preserve">potrebu dovršetka definiranja </w:t>
      </w:r>
      <w:r w:rsidR="00E3516B">
        <w:rPr>
          <w:rFonts w:cs="Times New Roman"/>
          <w:szCs w:val="24"/>
        </w:rPr>
        <w:t xml:space="preserve">kriterija prihvatljivosti za prihvat radioaktivnog otpada (WAC) </w:t>
      </w:r>
      <w:r w:rsidRPr="00C07BE5">
        <w:rPr>
          <w:rFonts w:cs="Times New Roman"/>
          <w:szCs w:val="24"/>
        </w:rPr>
        <w:t xml:space="preserve">za skladišta na lokaciji Čerkezovac i pravovremenu dostavu regulatoru </w:t>
      </w:r>
      <w:r w:rsidRPr="00C07BE5">
        <w:rPr>
          <w:rFonts w:cs="Times New Roman"/>
          <w:szCs w:val="24"/>
        </w:rPr>
        <w:lastRenderedPageBreak/>
        <w:t>na odobrenje kako bi se omogućio prihvat i sigurno skladištenje paketa otpada. Također, predloženo je da Fond razmotri reviziju terminskih planova kako bi se osiguralo dovoljno vremena za izradu sigurnosne procjene na razini detalja potrebnih za podnošenje zahtjeva za lokacijsku dozvolu za Centar za zbrinjavanje RAO-a i regulatorni pregled iste.</w:t>
      </w:r>
    </w:p>
    <w:p w14:paraId="231BDFE8" w14:textId="35068B1F" w:rsidR="007F647B" w:rsidRPr="00C07BE5" w:rsidRDefault="007F647B" w:rsidP="00881B74">
      <w:pPr>
        <w:spacing w:after="0"/>
        <w:rPr>
          <w:rFonts w:cs="Times New Roman"/>
          <w:szCs w:val="24"/>
        </w:rPr>
      </w:pPr>
      <w:r w:rsidRPr="00C07BE5">
        <w:rPr>
          <w:rFonts w:cs="Times New Roman"/>
          <w:szCs w:val="24"/>
        </w:rPr>
        <w:t xml:space="preserve">U dijelu vezanom za </w:t>
      </w:r>
      <w:r w:rsidR="00400BA3" w:rsidRPr="00C07BE5">
        <w:rPr>
          <w:rFonts w:cs="Times New Roman"/>
          <w:szCs w:val="24"/>
        </w:rPr>
        <w:t>Izgradnju kapaciteta</w:t>
      </w:r>
      <w:r w:rsidRPr="00C07BE5">
        <w:rPr>
          <w:rFonts w:cs="Times New Roman"/>
          <w:szCs w:val="24"/>
        </w:rPr>
        <w:t xml:space="preserve"> za zbrinjavanje radioaktivnog otpada i istrošenog nuklearnog goriva </w:t>
      </w:r>
      <w:r w:rsidR="000B724E" w:rsidRPr="00C07BE5">
        <w:rPr>
          <w:rFonts w:cs="Times New Roman"/>
          <w:szCs w:val="24"/>
        </w:rPr>
        <w:t>(</w:t>
      </w:r>
      <w:r w:rsidRPr="00C07BE5">
        <w:rPr>
          <w:rFonts w:cs="Times New Roman"/>
          <w:szCs w:val="24"/>
        </w:rPr>
        <w:t>stručnost, obuka, vještine</w:t>
      </w:r>
      <w:r w:rsidR="000B724E" w:rsidRPr="00C07BE5">
        <w:rPr>
          <w:rFonts w:cs="Times New Roman"/>
          <w:szCs w:val="24"/>
        </w:rPr>
        <w:t>)</w:t>
      </w:r>
      <w:r w:rsidRPr="00C07BE5">
        <w:rPr>
          <w:rFonts w:cs="Times New Roman"/>
          <w:szCs w:val="24"/>
        </w:rPr>
        <w:t xml:space="preserve">, Fondu je preporučeno da bi trebao kontinuirano evaluirati potrebe za ljudskim resursima kako bi kratkoročno i dugoročno osigurao ispunjavanje svojih odgovornosti za sigurno zbrinjavanje RAO-a i ING-a. </w:t>
      </w:r>
    </w:p>
    <w:p w14:paraId="4A586851" w14:textId="7F698D09" w:rsidR="00720358" w:rsidRPr="00C07BE5" w:rsidRDefault="007F647B" w:rsidP="005E3FE3">
      <w:pPr>
        <w:rPr>
          <w:rFonts w:cs="Times New Roman"/>
          <w:szCs w:val="24"/>
        </w:rPr>
      </w:pPr>
      <w:bookmarkStart w:id="37" w:name="_Hlk158989126"/>
      <w:r w:rsidRPr="00C07BE5">
        <w:rPr>
          <w:rFonts w:cs="Times New Roman"/>
          <w:szCs w:val="24"/>
        </w:rPr>
        <w:t>Fond bi trebao razviti plan za zapošljavanje i zadržavanje osoblja te održavanje kompetencija kroz obuke i/ili istraživanje, razvoj i demonstracije. Taj plan trebao bi biti usklađen s potrebama i ciljevima programa zbrinjavanja RAO-a.</w:t>
      </w:r>
    </w:p>
    <w:p w14:paraId="620E4904" w14:textId="3F35D12D" w:rsidR="00F426A2" w:rsidRPr="00C07BE5" w:rsidRDefault="007F647B" w:rsidP="00720358">
      <w:pPr>
        <w:pStyle w:val="Heading3"/>
        <w:spacing w:after="0"/>
        <w:ind w:left="567"/>
        <w:rPr>
          <w:rFonts w:ascii="Times New Roman" w:hAnsi="Times New Roman" w:cs="Times New Roman"/>
          <w:sz w:val="28"/>
          <w:szCs w:val="28"/>
        </w:rPr>
      </w:pPr>
      <w:bookmarkStart w:id="38" w:name="_Toc158992031"/>
      <w:bookmarkEnd w:id="37"/>
      <w:r w:rsidRPr="00C07BE5">
        <w:rPr>
          <w:rFonts w:ascii="Times New Roman" w:hAnsi="Times New Roman" w:cs="Times New Roman"/>
          <w:sz w:val="28"/>
          <w:szCs w:val="28"/>
        </w:rPr>
        <w:t>Uspostava Centra za zbrinjavanje RAO-a</w:t>
      </w:r>
      <w:bookmarkEnd w:id="38"/>
    </w:p>
    <w:p w14:paraId="1E94A264" w14:textId="32D77EF5" w:rsidR="007F647B" w:rsidRPr="00C07BE5" w:rsidRDefault="007F647B" w:rsidP="00F55A8A">
      <w:pPr>
        <w:spacing w:before="120" w:after="240"/>
        <w:rPr>
          <w:rFonts w:cs="Times New Roman"/>
          <w:szCs w:val="24"/>
        </w:rPr>
      </w:pPr>
      <w:bookmarkStart w:id="39" w:name="_Toc80697095"/>
      <w:r w:rsidRPr="00C07BE5">
        <w:rPr>
          <w:rFonts w:cs="Times New Roman"/>
          <w:szCs w:val="24"/>
        </w:rPr>
        <w:t>Sukladno obvezama iz Zakona o Fondu, Zakona o radiološkoj i nuklearnoj sigurnosti (NN 141/13, 39/15, 130/17, 118/18 i 21/22), Strategije zbrinjavanja radioaktivnog otpada, iskorištenih izvora i istrošenoga nuklearnog goriva (NN 125/14) i Nacionalnog programa provedbe Strategije zbrinjavanja radioaktivnog otpada, iskorištenih izvora i istrošenog nuklearnog goriva (Program za razdoblje do 2025. godine s pogledom do 2060. godine), u 2023. godini nastavljena je provedba aktivnosti na poslovima ishođenja dozvola za izgradnju Centra za zbrinjavanje radioaktivnog otpada na lokaciji Čerkezovac na Trgovskoj gori.</w:t>
      </w:r>
    </w:p>
    <w:p w14:paraId="63A486C0" w14:textId="000A1922" w:rsidR="00F02BE0" w:rsidRPr="00C07BE5" w:rsidRDefault="00F02BE0" w:rsidP="007E4829">
      <w:pPr>
        <w:rPr>
          <w:rFonts w:cs="Times New Roman"/>
          <w:szCs w:val="24"/>
        </w:rPr>
      </w:pPr>
      <w:r w:rsidRPr="00C07BE5">
        <w:rPr>
          <w:rFonts w:cs="Times New Roman"/>
          <w:szCs w:val="24"/>
        </w:rPr>
        <w:t xml:space="preserve">Unutar Sektora za pripremu Programa razgradnje i odlaganja i provedbu Strategije </w:t>
      </w:r>
      <w:r w:rsidR="004B61D4" w:rsidRPr="00C07BE5">
        <w:rPr>
          <w:rFonts w:cs="Times New Roman"/>
          <w:szCs w:val="24"/>
        </w:rPr>
        <w:t>osnovana je posebna organizacijska jedinica Centar za zbrinjavanje radioaktivnog otpada</w:t>
      </w:r>
      <w:r w:rsidR="00EC62FE">
        <w:rPr>
          <w:rFonts w:cs="Times New Roman"/>
          <w:szCs w:val="24"/>
        </w:rPr>
        <w:t xml:space="preserve">, čime je organizacijska struktura u potpunosti usklađena sa Zakonom o Fondu. </w:t>
      </w:r>
    </w:p>
    <w:p w14:paraId="47268BAD" w14:textId="12F1CEF5" w:rsidR="007F647B" w:rsidRPr="00C07BE5" w:rsidRDefault="007F647B" w:rsidP="00881B74">
      <w:pPr>
        <w:rPr>
          <w:rFonts w:cs="Times New Roman"/>
          <w:szCs w:val="24"/>
        </w:rPr>
      </w:pPr>
      <w:r w:rsidRPr="00C07BE5">
        <w:rPr>
          <w:rFonts w:cs="Times New Roman"/>
          <w:szCs w:val="24"/>
        </w:rPr>
        <w:t>Nastavno na istražne radove</w:t>
      </w:r>
      <w:r w:rsidR="00EC62FE">
        <w:rPr>
          <w:rFonts w:cs="Times New Roman"/>
          <w:szCs w:val="24"/>
        </w:rPr>
        <w:t xml:space="preserve"> na lokaciji</w:t>
      </w:r>
      <w:r w:rsidRPr="00C07BE5">
        <w:rPr>
          <w:rFonts w:cs="Times New Roman"/>
          <w:szCs w:val="24"/>
        </w:rPr>
        <w:t xml:space="preserve"> koji su</w:t>
      </w:r>
      <w:r w:rsidR="00EC62FE">
        <w:rPr>
          <w:rFonts w:cs="Times New Roman"/>
          <w:szCs w:val="24"/>
        </w:rPr>
        <w:t xml:space="preserve"> dovršeni krajem ožujka, </w:t>
      </w:r>
      <w:r w:rsidRPr="00C07BE5">
        <w:rPr>
          <w:rFonts w:cs="Times New Roman"/>
          <w:szCs w:val="24"/>
        </w:rPr>
        <w:t xml:space="preserve">u drugom kvartalu 2023. godine </w:t>
      </w:r>
      <w:r w:rsidR="00EC62FE">
        <w:rPr>
          <w:rFonts w:cs="Times New Roman"/>
          <w:szCs w:val="24"/>
        </w:rPr>
        <w:t xml:space="preserve">provedeni su </w:t>
      </w:r>
      <w:r w:rsidRPr="00C07BE5">
        <w:rPr>
          <w:rFonts w:cs="Times New Roman"/>
          <w:szCs w:val="24"/>
        </w:rPr>
        <w:t>dodatni istražni radov</w:t>
      </w:r>
      <w:r w:rsidR="00EC62FE">
        <w:rPr>
          <w:rFonts w:cs="Times New Roman"/>
          <w:szCs w:val="24"/>
        </w:rPr>
        <w:t>i</w:t>
      </w:r>
      <w:r w:rsidRPr="00C07BE5">
        <w:rPr>
          <w:rFonts w:cs="Times New Roman"/>
          <w:szCs w:val="24"/>
        </w:rPr>
        <w:t xml:space="preserve"> </w:t>
      </w:r>
      <w:r w:rsidR="009E55AA" w:rsidRPr="00C07BE5">
        <w:rPr>
          <w:rFonts w:cs="Times New Roman"/>
          <w:szCs w:val="24"/>
        </w:rPr>
        <w:t xml:space="preserve">za </w:t>
      </w:r>
      <w:r w:rsidRPr="00C07BE5">
        <w:rPr>
          <w:rFonts w:cs="Times New Roman"/>
          <w:szCs w:val="24"/>
        </w:rPr>
        <w:t xml:space="preserve"> </w:t>
      </w:r>
      <w:r w:rsidR="009E55AA" w:rsidRPr="00C07BE5">
        <w:rPr>
          <w:rFonts w:cs="Times New Roman"/>
          <w:szCs w:val="24"/>
        </w:rPr>
        <w:t xml:space="preserve">upravnu zgradu </w:t>
      </w:r>
      <w:r w:rsidRPr="00C07BE5">
        <w:rPr>
          <w:rFonts w:cs="Times New Roman"/>
          <w:szCs w:val="24"/>
        </w:rPr>
        <w:t xml:space="preserve">Centra, čiji </w:t>
      </w:r>
      <w:r w:rsidR="00EC62FE">
        <w:rPr>
          <w:rFonts w:cs="Times New Roman"/>
          <w:szCs w:val="24"/>
        </w:rPr>
        <w:t xml:space="preserve">je </w:t>
      </w:r>
      <w:r w:rsidRPr="00C07BE5">
        <w:rPr>
          <w:rFonts w:cs="Times New Roman"/>
          <w:szCs w:val="24"/>
        </w:rPr>
        <w:t>smještaj unutar lokacije Centra definiran naknadno na preporuku projektanata</w:t>
      </w:r>
      <w:r w:rsidR="00EC62FE">
        <w:rPr>
          <w:rFonts w:cs="Times New Roman"/>
          <w:szCs w:val="24"/>
        </w:rPr>
        <w:t>,</w:t>
      </w:r>
      <w:r w:rsidRPr="00C07BE5">
        <w:rPr>
          <w:rFonts w:cs="Times New Roman"/>
          <w:szCs w:val="24"/>
        </w:rPr>
        <w:t xml:space="preserve"> tvrtke IDOM iz Španjolske.  </w:t>
      </w:r>
    </w:p>
    <w:p w14:paraId="2CC95247" w14:textId="75AD723F" w:rsidR="007F647B" w:rsidRPr="00C07BE5" w:rsidRDefault="00C95F5A" w:rsidP="00881B74">
      <w:pPr>
        <w:rPr>
          <w:rFonts w:cs="Times New Roman"/>
          <w:szCs w:val="24"/>
        </w:rPr>
      </w:pPr>
      <w:r>
        <w:rPr>
          <w:rFonts w:cs="Times New Roman"/>
          <w:szCs w:val="24"/>
        </w:rPr>
        <w:t>Radi</w:t>
      </w:r>
      <w:r w:rsidR="007F647B" w:rsidRPr="00C07BE5">
        <w:rPr>
          <w:rFonts w:cs="Times New Roman"/>
          <w:szCs w:val="24"/>
        </w:rPr>
        <w:t xml:space="preserve"> provedbe dodatnih istražnih radova </w:t>
      </w:r>
      <w:r w:rsidR="0078393C">
        <w:rPr>
          <w:rFonts w:cs="Times New Roman"/>
          <w:szCs w:val="24"/>
        </w:rPr>
        <w:t xml:space="preserve">razminirano je </w:t>
      </w:r>
      <w:r w:rsidR="007F647B" w:rsidRPr="00C07BE5">
        <w:rPr>
          <w:rFonts w:cs="Times New Roman"/>
          <w:szCs w:val="24"/>
        </w:rPr>
        <w:t>dodatnih 10.000 m</w:t>
      </w:r>
      <w:r w:rsidR="007F647B" w:rsidRPr="00C07BE5">
        <w:rPr>
          <w:rFonts w:cs="Times New Roman"/>
          <w:szCs w:val="24"/>
          <w:vertAlign w:val="superscript"/>
        </w:rPr>
        <w:t>2</w:t>
      </w:r>
      <w:r w:rsidR="007F647B" w:rsidRPr="00C07BE5">
        <w:rPr>
          <w:rFonts w:cs="Times New Roman"/>
          <w:szCs w:val="24"/>
        </w:rPr>
        <w:t xml:space="preserve"> središnjeg skladišnog dijela bivšeg VSK Čerkezovac i potrebnih koridora </w:t>
      </w:r>
      <w:r>
        <w:rPr>
          <w:rFonts w:cs="Times New Roman"/>
          <w:szCs w:val="24"/>
        </w:rPr>
        <w:t>za smještaj</w:t>
      </w:r>
      <w:r w:rsidR="007F647B" w:rsidRPr="00C07BE5">
        <w:rPr>
          <w:rFonts w:cs="Times New Roman"/>
          <w:szCs w:val="24"/>
        </w:rPr>
        <w:t xml:space="preserve"> upravn</w:t>
      </w:r>
      <w:r>
        <w:rPr>
          <w:rFonts w:cs="Times New Roman"/>
          <w:szCs w:val="24"/>
        </w:rPr>
        <w:t>e</w:t>
      </w:r>
      <w:r w:rsidR="007F647B" w:rsidRPr="00C07BE5">
        <w:rPr>
          <w:rFonts w:cs="Times New Roman"/>
          <w:szCs w:val="24"/>
        </w:rPr>
        <w:t xml:space="preserve"> zgrad</w:t>
      </w:r>
      <w:r>
        <w:rPr>
          <w:rFonts w:cs="Times New Roman"/>
          <w:szCs w:val="24"/>
        </w:rPr>
        <w:t>e</w:t>
      </w:r>
      <w:r w:rsidR="007F647B" w:rsidRPr="00C07BE5">
        <w:rPr>
          <w:rFonts w:cs="Times New Roman"/>
          <w:szCs w:val="24"/>
        </w:rPr>
        <w:t xml:space="preserve"> Centra, a u prosincu </w:t>
      </w:r>
      <w:r w:rsidR="00EC62FE">
        <w:rPr>
          <w:rFonts w:cs="Times New Roman"/>
          <w:szCs w:val="24"/>
        </w:rPr>
        <w:t xml:space="preserve">2023. </w:t>
      </w:r>
      <w:r w:rsidR="007F647B" w:rsidRPr="00C07BE5">
        <w:rPr>
          <w:rFonts w:cs="Times New Roman"/>
          <w:szCs w:val="24"/>
        </w:rPr>
        <w:t xml:space="preserve">je u organizaciji Centra za razminiranje započelo razminiranje preostalih minski sumnjivih površina </w:t>
      </w:r>
      <w:r w:rsidR="0078393C">
        <w:rPr>
          <w:rFonts w:cs="Times New Roman"/>
          <w:szCs w:val="24"/>
        </w:rPr>
        <w:t xml:space="preserve">i izvan obuhvata Centra </w:t>
      </w:r>
      <w:r w:rsidR="007F647B" w:rsidRPr="00C07BE5">
        <w:rPr>
          <w:rFonts w:cs="Times New Roman"/>
          <w:szCs w:val="24"/>
        </w:rPr>
        <w:t xml:space="preserve">što će rezultirati time da </w:t>
      </w:r>
      <w:r>
        <w:rPr>
          <w:rFonts w:cs="Times New Roman"/>
          <w:szCs w:val="24"/>
        </w:rPr>
        <w:t>će</w:t>
      </w:r>
      <w:r w:rsidR="007F647B" w:rsidRPr="00C07BE5">
        <w:rPr>
          <w:rFonts w:cs="Times New Roman"/>
          <w:szCs w:val="24"/>
        </w:rPr>
        <w:t xml:space="preserve"> cijela Trgovsk</w:t>
      </w:r>
      <w:r>
        <w:rPr>
          <w:rFonts w:cs="Times New Roman"/>
          <w:szCs w:val="24"/>
        </w:rPr>
        <w:t>a</w:t>
      </w:r>
      <w:r w:rsidR="007F647B" w:rsidRPr="00C07BE5">
        <w:rPr>
          <w:rFonts w:cs="Times New Roman"/>
          <w:szCs w:val="24"/>
        </w:rPr>
        <w:t xml:space="preserve"> gor</w:t>
      </w:r>
      <w:r>
        <w:rPr>
          <w:rFonts w:cs="Times New Roman"/>
          <w:szCs w:val="24"/>
        </w:rPr>
        <w:t>a</w:t>
      </w:r>
      <w:r w:rsidR="007F647B" w:rsidRPr="00C07BE5">
        <w:rPr>
          <w:rFonts w:cs="Times New Roman"/>
          <w:szCs w:val="24"/>
        </w:rPr>
        <w:t xml:space="preserve"> </w:t>
      </w:r>
      <w:r>
        <w:rPr>
          <w:rFonts w:cs="Times New Roman"/>
          <w:szCs w:val="24"/>
        </w:rPr>
        <w:t>biti očišćena od mina do kraja 2024. godine</w:t>
      </w:r>
      <w:r w:rsidR="007F647B" w:rsidRPr="00C07BE5">
        <w:rPr>
          <w:rFonts w:cs="Times New Roman"/>
          <w:szCs w:val="24"/>
        </w:rPr>
        <w:t xml:space="preserve">. </w:t>
      </w:r>
    </w:p>
    <w:p w14:paraId="42662CE2" w14:textId="0917D325" w:rsidR="007F647B" w:rsidRPr="00C07BE5" w:rsidRDefault="007F647B" w:rsidP="00881B74">
      <w:pPr>
        <w:rPr>
          <w:rFonts w:cs="Times New Roman"/>
          <w:szCs w:val="24"/>
        </w:rPr>
      </w:pPr>
      <w:r w:rsidRPr="00C07BE5">
        <w:rPr>
          <w:rFonts w:cs="Times New Roman"/>
          <w:szCs w:val="24"/>
        </w:rPr>
        <w:t xml:space="preserve">U sklopu aktivnosti provedbe </w:t>
      </w:r>
      <w:r w:rsidR="00F02BE0" w:rsidRPr="00C07BE5">
        <w:rPr>
          <w:rFonts w:cs="Times New Roman"/>
          <w:szCs w:val="24"/>
        </w:rPr>
        <w:t xml:space="preserve">Grupe </w:t>
      </w:r>
      <w:r w:rsidRPr="00C07BE5">
        <w:rPr>
          <w:rFonts w:cs="Times New Roman"/>
          <w:szCs w:val="24"/>
        </w:rPr>
        <w:t xml:space="preserve">3 (Usluge izrade projektne dokumentacije, sigurnosnih analiza i studije utjecaja na okoliš za potrebe uspostave Centra) </w:t>
      </w:r>
      <w:r w:rsidR="00C95F5A">
        <w:rPr>
          <w:rFonts w:cs="Times New Roman"/>
          <w:szCs w:val="24"/>
        </w:rPr>
        <w:t>dovršena</w:t>
      </w:r>
      <w:r w:rsidRPr="00C07BE5">
        <w:rPr>
          <w:rFonts w:cs="Times New Roman"/>
          <w:szCs w:val="24"/>
        </w:rPr>
        <w:t xml:space="preserve"> je studija izvodljivosti s procjenom troškova izgradnje i upravljanja. Također, u sklopu provedbe postupka prethodne ocjene prihvatljivosti zahvata na ekološku mrežu, Ministarstvo gospodarstva i održivog razvoja utvrdilo je da je planirani zahvat prihvatljiv za ekološku mrežu te da za zahvat Centra nije potrebno izraditi glavnu ocjenu prihvatljivosti zahvata na ekološku mrežu. Nadalje, </w:t>
      </w:r>
      <w:r w:rsidR="00642DA6" w:rsidRPr="00C07BE5">
        <w:rPr>
          <w:rFonts w:cs="Times New Roman"/>
          <w:szCs w:val="24"/>
        </w:rPr>
        <w:t xml:space="preserve">proveden je </w:t>
      </w:r>
      <w:r w:rsidRPr="00C07BE5">
        <w:rPr>
          <w:rFonts w:cs="Times New Roman"/>
          <w:szCs w:val="24"/>
        </w:rPr>
        <w:t xml:space="preserve">postupak za izdavanje upute o sadržaju studije o utjecaju na okoliš u kojem </w:t>
      </w:r>
      <w:r w:rsidR="00642DA6" w:rsidRPr="00C07BE5">
        <w:rPr>
          <w:rFonts w:cs="Times New Roman"/>
          <w:szCs w:val="24"/>
        </w:rPr>
        <w:t xml:space="preserve">je </w:t>
      </w:r>
      <w:r w:rsidRPr="00C07BE5">
        <w:rPr>
          <w:rFonts w:cs="Times New Roman"/>
          <w:szCs w:val="24"/>
        </w:rPr>
        <w:t>sudjelova</w:t>
      </w:r>
      <w:r w:rsidR="00642DA6" w:rsidRPr="00C07BE5">
        <w:rPr>
          <w:rFonts w:cs="Times New Roman"/>
          <w:szCs w:val="24"/>
        </w:rPr>
        <w:t>la</w:t>
      </w:r>
      <w:r w:rsidRPr="00C07BE5">
        <w:rPr>
          <w:rFonts w:cs="Times New Roman"/>
          <w:szCs w:val="24"/>
        </w:rPr>
        <w:t xml:space="preserve"> sva zainteresirana javnost. </w:t>
      </w:r>
      <w:r w:rsidR="00642DA6" w:rsidRPr="00C07BE5">
        <w:rPr>
          <w:rFonts w:cs="Times New Roman"/>
          <w:szCs w:val="24"/>
        </w:rPr>
        <w:t xml:space="preserve">Postupak izdavanja upute je uključivao i prekogranične konzultacije sa susjednom Bosnom i </w:t>
      </w:r>
      <w:r w:rsidR="00642DA6" w:rsidRPr="00C07BE5">
        <w:rPr>
          <w:rFonts w:cs="Times New Roman"/>
          <w:szCs w:val="24"/>
        </w:rPr>
        <w:lastRenderedPageBreak/>
        <w:t xml:space="preserve">Hercegovinom. </w:t>
      </w:r>
      <w:r w:rsidRPr="00C07BE5">
        <w:rPr>
          <w:rFonts w:cs="Times New Roman"/>
          <w:szCs w:val="24"/>
        </w:rPr>
        <w:t xml:space="preserve">Temeljem mišljenja, </w:t>
      </w:r>
      <w:r w:rsidR="009E041A" w:rsidRPr="00C07BE5">
        <w:rPr>
          <w:rFonts w:cs="Times New Roman"/>
          <w:szCs w:val="24"/>
        </w:rPr>
        <w:t xml:space="preserve">primjedbi </w:t>
      </w:r>
      <w:r w:rsidRPr="00C07BE5">
        <w:rPr>
          <w:rFonts w:cs="Times New Roman"/>
          <w:szCs w:val="24"/>
        </w:rPr>
        <w:t xml:space="preserve">i prijedloga javnosti i zainteresirane javnosti te očitovanja Fonda na ista, Ministarstvo </w:t>
      </w:r>
      <w:r w:rsidR="00642DA6" w:rsidRPr="00C07BE5">
        <w:rPr>
          <w:rFonts w:cs="Times New Roman"/>
          <w:szCs w:val="24"/>
        </w:rPr>
        <w:t xml:space="preserve">gospodarstva i održivog razvoja </w:t>
      </w:r>
      <w:r w:rsidRPr="00C07BE5">
        <w:rPr>
          <w:rFonts w:cs="Times New Roman"/>
          <w:szCs w:val="24"/>
        </w:rPr>
        <w:t>je</w:t>
      </w:r>
      <w:r w:rsidR="00C95F5A">
        <w:rPr>
          <w:rFonts w:cs="Times New Roman"/>
          <w:szCs w:val="24"/>
        </w:rPr>
        <w:t xml:space="preserve"> </w:t>
      </w:r>
      <w:r w:rsidRPr="00C07BE5">
        <w:rPr>
          <w:rFonts w:cs="Times New Roman"/>
          <w:szCs w:val="24"/>
        </w:rPr>
        <w:t xml:space="preserve">početkom rujna 2023. godine objavilo Uputu o sadržaju Studije o utjecaju zahvata na okoliš za Centar. </w:t>
      </w:r>
    </w:p>
    <w:p w14:paraId="64D4B1B1" w14:textId="30398728" w:rsidR="007F647B" w:rsidRPr="00C07BE5" w:rsidRDefault="007F647B" w:rsidP="00881B74">
      <w:pPr>
        <w:rPr>
          <w:rFonts w:cs="Times New Roman"/>
          <w:szCs w:val="24"/>
        </w:rPr>
      </w:pPr>
      <w:r w:rsidRPr="00C07BE5">
        <w:rPr>
          <w:rFonts w:cs="Times New Roman"/>
          <w:szCs w:val="24"/>
        </w:rPr>
        <w:t xml:space="preserve">Od ostalih aktivnosti u sklopu </w:t>
      </w:r>
      <w:r w:rsidR="00F02BE0" w:rsidRPr="00C07BE5">
        <w:rPr>
          <w:rFonts w:cs="Times New Roman"/>
          <w:szCs w:val="24"/>
        </w:rPr>
        <w:t xml:space="preserve">Grupe </w:t>
      </w:r>
      <w:r w:rsidRPr="00C07BE5">
        <w:rPr>
          <w:rFonts w:cs="Times New Roman"/>
          <w:szCs w:val="24"/>
        </w:rPr>
        <w:t xml:space="preserve">3, </w:t>
      </w:r>
      <w:r w:rsidR="00EC62FE">
        <w:rPr>
          <w:rFonts w:cs="Times New Roman"/>
          <w:szCs w:val="24"/>
        </w:rPr>
        <w:t xml:space="preserve">započela je </w:t>
      </w:r>
      <w:r w:rsidRPr="00C07BE5">
        <w:rPr>
          <w:rFonts w:cs="Times New Roman"/>
          <w:szCs w:val="24"/>
        </w:rPr>
        <w:t xml:space="preserve">izrada idejnog projekta </w:t>
      </w:r>
      <w:r w:rsidR="00EC62FE">
        <w:rPr>
          <w:rFonts w:cs="Times New Roman"/>
          <w:szCs w:val="24"/>
        </w:rPr>
        <w:t xml:space="preserve">za ishođenje lokacijske dozvole </w:t>
      </w:r>
      <w:r w:rsidRPr="00C07BE5">
        <w:rPr>
          <w:rFonts w:cs="Times New Roman"/>
          <w:szCs w:val="24"/>
        </w:rPr>
        <w:t>i sigurnosnih analiza. S obzirom na utvrđene neusklađenosti između geodetskog snimka lokacije dijela Centra za smještaj ulaznog platoa (geodetska podloga za projektiranje) i stvarno utvrđenog stanja konfiguracije terena na lokaciji</w:t>
      </w:r>
      <w:r w:rsidR="00813BE9">
        <w:rPr>
          <w:rFonts w:cs="Times New Roman"/>
          <w:szCs w:val="24"/>
        </w:rPr>
        <w:t>,</w:t>
      </w:r>
      <w:r w:rsidRPr="00C07BE5">
        <w:rPr>
          <w:rFonts w:cs="Times New Roman"/>
          <w:szCs w:val="24"/>
        </w:rPr>
        <w:t xml:space="preserve"> </w:t>
      </w:r>
      <w:r w:rsidRPr="00C95F5A">
        <w:rPr>
          <w:rFonts w:cs="Times New Roman"/>
          <w:szCs w:val="24"/>
        </w:rPr>
        <w:t>ugovoreno je dodatno geodetsko snimanje terena buduće lokacije upravne zgrade Centra.</w:t>
      </w:r>
      <w:r w:rsidRPr="00C07BE5">
        <w:rPr>
          <w:rFonts w:cs="Times New Roman"/>
          <w:szCs w:val="24"/>
        </w:rPr>
        <w:t xml:space="preserve">  </w:t>
      </w:r>
    </w:p>
    <w:p w14:paraId="4EB1BA1A" w14:textId="12948B0E" w:rsidR="007F647B" w:rsidRPr="00C07BE5" w:rsidRDefault="007F647B" w:rsidP="00881B74">
      <w:pPr>
        <w:rPr>
          <w:rFonts w:cs="Times New Roman"/>
          <w:szCs w:val="24"/>
        </w:rPr>
      </w:pPr>
      <w:r w:rsidRPr="00C07BE5">
        <w:rPr>
          <w:rFonts w:cs="Times New Roman"/>
          <w:szCs w:val="24"/>
        </w:rPr>
        <w:t>U svrhu definiranja ulaznih podataka Sigurnosne studije kao i ulaznih konstrukcijskih parametara</w:t>
      </w:r>
      <w:r w:rsidR="00642DA6" w:rsidRPr="00C07BE5">
        <w:rPr>
          <w:rFonts w:cs="Times New Roman"/>
          <w:szCs w:val="24"/>
        </w:rPr>
        <w:t>,</w:t>
      </w:r>
      <w:r w:rsidRPr="00C07BE5">
        <w:rPr>
          <w:rFonts w:cs="Times New Roman"/>
          <w:szCs w:val="24"/>
        </w:rPr>
        <w:t xml:space="preserve"> izrađen je elaborat za procjenu utjecaja seizmičkih događaja na betonske spremnike (RCC), koji je dao korisne podatke za poboljšanje protupotresne stabilnosti pri proje</w:t>
      </w:r>
      <w:r w:rsidR="00642DA6" w:rsidRPr="00C07BE5">
        <w:rPr>
          <w:rFonts w:cs="Times New Roman"/>
          <w:szCs w:val="24"/>
        </w:rPr>
        <w:t>k</w:t>
      </w:r>
      <w:r w:rsidRPr="00C07BE5">
        <w:rPr>
          <w:rFonts w:cs="Times New Roman"/>
          <w:szCs w:val="24"/>
        </w:rPr>
        <w:t xml:space="preserve">tiranju i skladištenju betonskih kontejnera. </w:t>
      </w:r>
    </w:p>
    <w:p w14:paraId="339AA13A" w14:textId="3E8AD26A" w:rsidR="007F647B" w:rsidRPr="00C07BE5" w:rsidRDefault="007F647B" w:rsidP="00881B74">
      <w:pPr>
        <w:rPr>
          <w:rFonts w:cs="Times New Roman"/>
          <w:szCs w:val="24"/>
        </w:rPr>
      </w:pPr>
      <w:r w:rsidRPr="00C07BE5">
        <w:rPr>
          <w:rFonts w:cs="Times New Roman"/>
          <w:szCs w:val="24"/>
        </w:rPr>
        <w:t xml:space="preserve">U lipnju 2023. godine nadograđena je postojeća postaja za uzorkovanje zraka na lokaciji Centra za zbrinjavanje radioaktivnog otpada ugradnjom NaI(Tl) senzora za monitoring u realnom vremenu. Nadogradnja omogućuje direktan monitoring koncentracije aktivnosti gama emitera u zraku, brzine doze i spektra, te online analizu i identifikaciju izotopa, što do sada nije bilo moguće. </w:t>
      </w:r>
      <w:r w:rsidR="00813BE9">
        <w:rPr>
          <w:rFonts w:cs="Times New Roman"/>
          <w:szCs w:val="24"/>
        </w:rPr>
        <w:t>Navedena postaja dio je nacionalnog sustava pravodobnog upozoravanja na nuklearnu nesreću (</w:t>
      </w:r>
      <w:r w:rsidRPr="00C07BE5">
        <w:rPr>
          <w:rFonts w:cs="Times New Roman"/>
          <w:szCs w:val="24"/>
        </w:rPr>
        <w:t>SPUNN</w:t>
      </w:r>
      <w:r w:rsidR="00813BE9">
        <w:rPr>
          <w:rFonts w:cs="Times New Roman"/>
          <w:szCs w:val="24"/>
        </w:rPr>
        <w:t>)</w:t>
      </w:r>
      <w:r w:rsidRPr="00C07BE5">
        <w:rPr>
          <w:rFonts w:cs="Times New Roman"/>
          <w:szCs w:val="24"/>
        </w:rPr>
        <w:t xml:space="preserve">. </w:t>
      </w:r>
    </w:p>
    <w:p w14:paraId="4E27F062" w14:textId="6EB70A04" w:rsidR="007F647B" w:rsidRPr="00C07BE5" w:rsidRDefault="007F647B" w:rsidP="00881B74">
      <w:pPr>
        <w:rPr>
          <w:rFonts w:cs="Times New Roman"/>
          <w:szCs w:val="24"/>
        </w:rPr>
      </w:pPr>
      <w:r w:rsidRPr="00C07BE5">
        <w:rPr>
          <w:rFonts w:cs="Times New Roman"/>
          <w:szCs w:val="24"/>
        </w:rPr>
        <w:t>U kolovozu 2023. godine Geofizički odsjek Prirodoslovno-matematičkog fakulteta završio je Izvješće o radu mreže seizmografa i akcelerografa Centra za zbrinjavanje radioaktivnog otpada. Lokalnu mrežu čine tri seizmografske postaje, od kojih je jedna smještena na lokaciji Centra, a preostale dvije u Rujevcu, odnosno Pobrđanima.</w:t>
      </w:r>
    </w:p>
    <w:p w14:paraId="466DD4B5" w14:textId="2D35C003" w:rsidR="000534B3" w:rsidRPr="00C07BE5" w:rsidRDefault="007F647B" w:rsidP="000534B3">
      <w:pPr>
        <w:pStyle w:val="Heading3"/>
        <w:rPr>
          <w:rFonts w:ascii="Times New Roman" w:hAnsi="Times New Roman" w:cs="Times New Roman"/>
          <w:sz w:val="28"/>
          <w:szCs w:val="28"/>
        </w:rPr>
      </w:pPr>
      <w:bookmarkStart w:id="40" w:name="_Toc127350258"/>
      <w:bookmarkStart w:id="41" w:name="_Toc158992032"/>
      <w:r w:rsidRPr="00C07BE5">
        <w:rPr>
          <w:rFonts w:ascii="Times New Roman" w:hAnsi="Times New Roman" w:cs="Times New Roman"/>
          <w:sz w:val="28"/>
          <w:szCs w:val="28"/>
        </w:rPr>
        <w:t xml:space="preserve">Zbrinjavanje </w:t>
      </w:r>
      <w:bookmarkEnd w:id="39"/>
      <w:bookmarkEnd w:id="40"/>
      <w:r w:rsidR="00813BE9">
        <w:rPr>
          <w:rFonts w:ascii="Times New Roman" w:hAnsi="Times New Roman" w:cs="Times New Roman"/>
          <w:sz w:val="28"/>
          <w:szCs w:val="28"/>
        </w:rPr>
        <w:t>radioaktivnog otpada nastalog na području Republike Hrvatske</w:t>
      </w:r>
      <w:bookmarkEnd w:id="41"/>
    </w:p>
    <w:p w14:paraId="378479BC" w14:textId="26E1345A" w:rsidR="00720358" w:rsidRPr="00C07BE5" w:rsidRDefault="007F647B" w:rsidP="00881B74">
      <w:pPr>
        <w:rPr>
          <w:rFonts w:cs="Times New Roman"/>
          <w:szCs w:val="24"/>
        </w:rPr>
      </w:pPr>
      <w:r w:rsidRPr="00C07BE5">
        <w:rPr>
          <w:rFonts w:cs="Times New Roman"/>
          <w:szCs w:val="24"/>
        </w:rPr>
        <w:t xml:space="preserve">U 2023. godini Fond je </w:t>
      </w:r>
      <w:r w:rsidR="00813BE9">
        <w:rPr>
          <w:rFonts w:cs="Times New Roman"/>
          <w:szCs w:val="24"/>
        </w:rPr>
        <w:t xml:space="preserve">započeo aktivnosti na izradi </w:t>
      </w:r>
      <w:r w:rsidRPr="00C07BE5">
        <w:rPr>
          <w:rFonts w:cs="Times New Roman"/>
          <w:szCs w:val="24"/>
        </w:rPr>
        <w:t>podlog</w:t>
      </w:r>
      <w:r w:rsidR="00813BE9">
        <w:rPr>
          <w:rFonts w:cs="Times New Roman"/>
          <w:szCs w:val="24"/>
        </w:rPr>
        <w:t>a</w:t>
      </w:r>
      <w:r w:rsidRPr="00C07BE5">
        <w:rPr>
          <w:rFonts w:cs="Times New Roman"/>
          <w:szCs w:val="24"/>
        </w:rPr>
        <w:t xml:space="preserve"> za projekt tehničke suradnje</w:t>
      </w:r>
      <w:r w:rsidR="00813BE9">
        <w:rPr>
          <w:rFonts w:cs="Times New Roman"/>
          <w:szCs w:val="24"/>
        </w:rPr>
        <w:t xml:space="preserve"> s</w:t>
      </w:r>
      <w:r w:rsidRPr="00C07BE5">
        <w:rPr>
          <w:rFonts w:cs="Times New Roman"/>
          <w:szCs w:val="24"/>
        </w:rPr>
        <w:t xml:space="preserve"> </w:t>
      </w:r>
      <w:r w:rsidR="00813BE9">
        <w:rPr>
          <w:rFonts w:cs="Times New Roman"/>
          <w:szCs w:val="24"/>
        </w:rPr>
        <w:t xml:space="preserve">Međunarodnom agencijom za nuklearnu energiju (IAEA) koji se odnosi na </w:t>
      </w:r>
      <w:r w:rsidRPr="00C07BE5">
        <w:rPr>
          <w:rFonts w:cs="Times New Roman"/>
          <w:szCs w:val="24"/>
        </w:rPr>
        <w:t xml:space="preserve">zbrinjavanju </w:t>
      </w:r>
      <w:r w:rsidR="00813BE9">
        <w:rPr>
          <w:rFonts w:cs="Times New Roman"/>
          <w:szCs w:val="24"/>
        </w:rPr>
        <w:t xml:space="preserve">institucionalnog </w:t>
      </w:r>
      <w:r w:rsidRPr="00C07BE5">
        <w:rPr>
          <w:rFonts w:cs="Times New Roman"/>
          <w:szCs w:val="24"/>
        </w:rPr>
        <w:t>RAO</w:t>
      </w:r>
      <w:r w:rsidR="00813BE9">
        <w:rPr>
          <w:rFonts w:cs="Times New Roman"/>
          <w:szCs w:val="24"/>
        </w:rPr>
        <w:t>-a</w:t>
      </w:r>
      <w:r w:rsidRPr="00C07BE5">
        <w:rPr>
          <w:rFonts w:cs="Times New Roman"/>
          <w:szCs w:val="24"/>
        </w:rPr>
        <w:t>. Cilj ov</w:t>
      </w:r>
      <w:r w:rsidR="0078393C">
        <w:rPr>
          <w:rFonts w:cs="Times New Roman"/>
          <w:szCs w:val="24"/>
        </w:rPr>
        <w:t xml:space="preserve">e aktivnosti </w:t>
      </w:r>
      <w:r w:rsidRPr="00C07BE5">
        <w:rPr>
          <w:rFonts w:cs="Times New Roman"/>
          <w:szCs w:val="24"/>
        </w:rPr>
        <w:t>je pregled stanja vezano za radioaktivne gromobrane u Republici Hrvatskoj te definira</w:t>
      </w:r>
      <w:r w:rsidR="00813BE9">
        <w:rPr>
          <w:rFonts w:cs="Times New Roman"/>
          <w:szCs w:val="24"/>
        </w:rPr>
        <w:t>nje</w:t>
      </w:r>
      <w:r w:rsidRPr="00C07BE5">
        <w:rPr>
          <w:rFonts w:cs="Times New Roman"/>
          <w:szCs w:val="24"/>
        </w:rPr>
        <w:t xml:space="preserve"> tehničko-tehnološk</w:t>
      </w:r>
      <w:r w:rsidR="00813BE9">
        <w:rPr>
          <w:rFonts w:cs="Times New Roman"/>
          <w:szCs w:val="24"/>
        </w:rPr>
        <w:t>ih</w:t>
      </w:r>
      <w:r w:rsidRPr="00C07BE5">
        <w:rPr>
          <w:rFonts w:cs="Times New Roman"/>
          <w:szCs w:val="24"/>
        </w:rPr>
        <w:t xml:space="preserve"> i ljudsk</w:t>
      </w:r>
      <w:r w:rsidR="00813BE9">
        <w:rPr>
          <w:rFonts w:cs="Times New Roman"/>
          <w:szCs w:val="24"/>
        </w:rPr>
        <w:t>ih</w:t>
      </w:r>
      <w:r w:rsidRPr="00C07BE5">
        <w:rPr>
          <w:rFonts w:cs="Times New Roman"/>
          <w:szCs w:val="24"/>
        </w:rPr>
        <w:t xml:space="preserve"> resurs</w:t>
      </w:r>
      <w:r w:rsidR="00813BE9">
        <w:rPr>
          <w:rFonts w:cs="Times New Roman"/>
          <w:szCs w:val="24"/>
        </w:rPr>
        <w:t>a</w:t>
      </w:r>
      <w:r w:rsidRPr="00C07BE5">
        <w:rPr>
          <w:rFonts w:cs="Times New Roman"/>
          <w:szCs w:val="24"/>
        </w:rPr>
        <w:t xml:space="preserve"> kao i financijsk</w:t>
      </w:r>
      <w:r w:rsidR="00813BE9">
        <w:rPr>
          <w:rFonts w:cs="Times New Roman"/>
          <w:szCs w:val="24"/>
        </w:rPr>
        <w:t>og</w:t>
      </w:r>
      <w:r w:rsidRPr="00C07BE5">
        <w:rPr>
          <w:rFonts w:cs="Times New Roman"/>
          <w:szCs w:val="24"/>
        </w:rPr>
        <w:t xml:space="preserve"> okvir</w:t>
      </w:r>
      <w:r w:rsidR="00813BE9">
        <w:rPr>
          <w:rFonts w:cs="Times New Roman"/>
          <w:szCs w:val="24"/>
        </w:rPr>
        <w:t>a</w:t>
      </w:r>
      <w:r w:rsidRPr="00C07BE5">
        <w:rPr>
          <w:rFonts w:cs="Times New Roman"/>
          <w:szCs w:val="24"/>
        </w:rPr>
        <w:t xml:space="preserve"> za potrebe projekta tehničke suradnje s IAEA-om </w:t>
      </w:r>
      <w:r w:rsidR="00813BE9">
        <w:rPr>
          <w:rFonts w:cs="Times New Roman"/>
          <w:szCs w:val="24"/>
        </w:rPr>
        <w:t xml:space="preserve">u cilju </w:t>
      </w:r>
      <w:r w:rsidRPr="00C07BE5">
        <w:rPr>
          <w:rFonts w:cs="Times New Roman"/>
          <w:szCs w:val="24"/>
        </w:rPr>
        <w:t>ukl</w:t>
      </w:r>
      <w:r w:rsidR="00813BE9">
        <w:rPr>
          <w:rFonts w:cs="Times New Roman"/>
          <w:szCs w:val="24"/>
        </w:rPr>
        <w:t>anjanja</w:t>
      </w:r>
      <w:r w:rsidRPr="00C07BE5">
        <w:rPr>
          <w:rFonts w:cs="Times New Roman"/>
          <w:szCs w:val="24"/>
        </w:rPr>
        <w:t xml:space="preserve"> radioaktivni</w:t>
      </w:r>
      <w:r w:rsidR="00813BE9">
        <w:rPr>
          <w:rFonts w:cs="Times New Roman"/>
          <w:szCs w:val="24"/>
        </w:rPr>
        <w:t>h</w:t>
      </w:r>
      <w:r w:rsidRPr="00C07BE5">
        <w:rPr>
          <w:rFonts w:cs="Times New Roman"/>
          <w:szCs w:val="24"/>
        </w:rPr>
        <w:t xml:space="preserve"> gromobran</w:t>
      </w:r>
      <w:r w:rsidR="00813BE9">
        <w:rPr>
          <w:rFonts w:cs="Times New Roman"/>
          <w:szCs w:val="24"/>
        </w:rPr>
        <w:t xml:space="preserve">a koji su još uvijek u </w:t>
      </w:r>
      <w:r w:rsidRPr="00C07BE5">
        <w:rPr>
          <w:rFonts w:cs="Times New Roman"/>
          <w:szCs w:val="24"/>
        </w:rPr>
        <w:t>javn</w:t>
      </w:r>
      <w:r w:rsidR="00813BE9">
        <w:rPr>
          <w:rFonts w:cs="Times New Roman"/>
          <w:szCs w:val="24"/>
        </w:rPr>
        <w:t>oj</w:t>
      </w:r>
      <w:r w:rsidRPr="00C07BE5">
        <w:rPr>
          <w:rFonts w:cs="Times New Roman"/>
          <w:szCs w:val="24"/>
        </w:rPr>
        <w:t xml:space="preserve"> upotreb</w:t>
      </w:r>
      <w:r w:rsidR="00813BE9">
        <w:rPr>
          <w:rFonts w:cs="Times New Roman"/>
          <w:szCs w:val="24"/>
        </w:rPr>
        <w:t>i</w:t>
      </w:r>
      <w:r w:rsidRPr="00C07BE5">
        <w:rPr>
          <w:rFonts w:cs="Times New Roman"/>
          <w:szCs w:val="24"/>
        </w:rPr>
        <w:t>.</w:t>
      </w:r>
    </w:p>
    <w:p w14:paraId="5D12BD82" w14:textId="77699B2B" w:rsidR="000534B3" w:rsidRPr="00C07BE5" w:rsidRDefault="007F647B" w:rsidP="000534B3">
      <w:pPr>
        <w:pStyle w:val="Heading3"/>
        <w:rPr>
          <w:rFonts w:ascii="Times New Roman" w:hAnsi="Times New Roman" w:cs="Times New Roman"/>
          <w:sz w:val="28"/>
          <w:szCs w:val="28"/>
        </w:rPr>
      </w:pPr>
      <w:bookmarkStart w:id="42" w:name="_Toc158992033"/>
      <w:r w:rsidRPr="00C07BE5">
        <w:rPr>
          <w:rFonts w:ascii="Times New Roman" w:hAnsi="Times New Roman" w:cs="Times New Roman"/>
          <w:sz w:val="28"/>
          <w:szCs w:val="28"/>
        </w:rPr>
        <w:t>Preuzimanje NSRAO-a iz NE Krško</w:t>
      </w:r>
      <w:bookmarkEnd w:id="42"/>
    </w:p>
    <w:p w14:paraId="3FAB17CC" w14:textId="1E397680" w:rsidR="004B61D4" w:rsidRPr="00C07BE5" w:rsidRDefault="00DA0F1D" w:rsidP="00881B74">
      <w:pPr>
        <w:rPr>
          <w:rFonts w:cs="Times New Roman"/>
          <w:szCs w:val="24"/>
        </w:rPr>
      </w:pPr>
      <w:r>
        <w:rPr>
          <w:rFonts w:cs="Times New Roman"/>
          <w:szCs w:val="24"/>
        </w:rPr>
        <w:t xml:space="preserve">U </w:t>
      </w:r>
      <w:r w:rsidR="007F647B" w:rsidRPr="00C07BE5">
        <w:rPr>
          <w:rFonts w:cs="Times New Roman"/>
          <w:szCs w:val="24"/>
        </w:rPr>
        <w:t xml:space="preserve">2023. godine </w:t>
      </w:r>
      <w:r w:rsidR="0078393C">
        <w:rPr>
          <w:rFonts w:cs="Times New Roman"/>
          <w:szCs w:val="24"/>
        </w:rPr>
        <w:t>dovršen</w:t>
      </w:r>
      <w:r>
        <w:rPr>
          <w:rFonts w:cs="Times New Roman"/>
          <w:szCs w:val="24"/>
        </w:rPr>
        <w:t xml:space="preserve"> je </w:t>
      </w:r>
      <w:r w:rsidR="007F647B" w:rsidRPr="00C07BE5">
        <w:rPr>
          <w:rFonts w:cs="Times New Roman"/>
          <w:szCs w:val="24"/>
        </w:rPr>
        <w:t>pregovarački postupak bez prethodne objave za uslugu odvoza, karakterizacije, skladištenja, kondicioniranja i povrata 617 bačava NSRAO-a iz NE Krško</w:t>
      </w:r>
      <w:r>
        <w:rPr>
          <w:rFonts w:cs="Times New Roman"/>
          <w:szCs w:val="24"/>
        </w:rPr>
        <w:t xml:space="preserve">. Postupak je </w:t>
      </w:r>
      <w:r w:rsidR="007F647B" w:rsidRPr="00C07BE5">
        <w:rPr>
          <w:rFonts w:cs="Times New Roman"/>
          <w:szCs w:val="24"/>
        </w:rPr>
        <w:t>proveden do faze donošenja odluke o odabiru izvođača. Time je omogućena provedba prve faze preuzimanja NSRAO-a iz NE Krško (cca 200 m</w:t>
      </w:r>
      <w:r w:rsidR="007F647B" w:rsidRPr="00C07BE5">
        <w:rPr>
          <w:rFonts w:cs="Times New Roman"/>
          <w:szCs w:val="24"/>
          <w:vertAlign w:val="superscript"/>
        </w:rPr>
        <w:t>2</w:t>
      </w:r>
      <w:r w:rsidR="007F647B" w:rsidRPr="00C07BE5">
        <w:rPr>
          <w:rFonts w:cs="Times New Roman"/>
          <w:szCs w:val="24"/>
        </w:rPr>
        <w:t xml:space="preserve">) prema zaključcima 16. sjednice MDP-a (održane u travnju 2022. godine u Rijeci). U prvoj fazi postupka, krajem ožujka, pristigle su dvije ponude, nakon čega se pristupilo usklađivanju ugovora i tehničkih specifikacija s oba ponuditelja. Konačne ponude pristigle su 11. kolovoza. </w:t>
      </w:r>
    </w:p>
    <w:p w14:paraId="5DDB1DCA" w14:textId="0182EAD7" w:rsidR="004B61D4" w:rsidRPr="00C07BE5" w:rsidRDefault="007F647B" w:rsidP="00881B74">
      <w:pPr>
        <w:rPr>
          <w:rFonts w:cs="Times New Roman"/>
          <w:szCs w:val="24"/>
        </w:rPr>
      </w:pPr>
      <w:r w:rsidRPr="00C07BE5">
        <w:rPr>
          <w:rFonts w:cs="Times New Roman"/>
          <w:szCs w:val="24"/>
        </w:rPr>
        <w:lastRenderedPageBreak/>
        <w:t xml:space="preserve">Za potrebe prijevoza 617 D6 bačvi iz NE Krško do postrojenja za kondicioniranje i skladištenje Fond je u drugom tromjesečju pokrenuo nabavu 14 transportnih kontejnera. Ponude su pristigle 25. kolovoza. Do kraja rujna postupak nabave je proveden do faze donošenja odluke o odabiru izvođača. </w:t>
      </w:r>
    </w:p>
    <w:p w14:paraId="2AC0302D" w14:textId="5E9DD899" w:rsidR="007F647B" w:rsidRPr="00C07BE5" w:rsidRDefault="007F647B" w:rsidP="00881B74">
      <w:pPr>
        <w:rPr>
          <w:rFonts w:cs="Times New Roman"/>
          <w:szCs w:val="24"/>
        </w:rPr>
      </w:pPr>
      <w:r w:rsidRPr="00C07BE5">
        <w:rPr>
          <w:rFonts w:cs="Times New Roman"/>
          <w:szCs w:val="24"/>
        </w:rPr>
        <w:t xml:space="preserve">Nakon što je na 17. sjednici MDP-a </w:t>
      </w:r>
      <w:r w:rsidR="00DA0F1D">
        <w:rPr>
          <w:rFonts w:cs="Times New Roman"/>
          <w:szCs w:val="24"/>
        </w:rPr>
        <w:t xml:space="preserve">održanoj početkom listopada </w:t>
      </w:r>
      <w:r w:rsidRPr="00C07BE5">
        <w:rPr>
          <w:rFonts w:cs="Times New Roman"/>
          <w:szCs w:val="24"/>
        </w:rPr>
        <w:t xml:space="preserve">zaključeno da više nema potrebe za provedbom prve faze odvoza NSRAO-a (izvoz D6 bačava u treću zemlju), Fond je donio odluku o poništavanju </w:t>
      </w:r>
      <w:r w:rsidR="00DA0F1D">
        <w:rPr>
          <w:rFonts w:cs="Times New Roman"/>
          <w:szCs w:val="24"/>
        </w:rPr>
        <w:t xml:space="preserve">oba natječaja. </w:t>
      </w:r>
    </w:p>
    <w:p w14:paraId="2A04E5B9" w14:textId="09E0297A" w:rsidR="007F647B" w:rsidRPr="00C07BE5" w:rsidRDefault="007F647B" w:rsidP="00881B74">
      <w:pPr>
        <w:rPr>
          <w:rFonts w:cs="Times New Roman"/>
          <w:szCs w:val="24"/>
        </w:rPr>
      </w:pPr>
      <w:r w:rsidRPr="00C07BE5">
        <w:rPr>
          <w:rFonts w:cs="Times New Roman"/>
          <w:szCs w:val="24"/>
        </w:rPr>
        <w:t xml:space="preserve">Tijekom 1. tromjesečja Fond je sudjelovao u postupcima nabave usluge odvoza i razgradnje i zbrinjavanja starih parogeneratora te obrade (spaljivanja) primarnih smola koje provodi NEK kako bi se oslobodio dio prostora </w:t>
      </w:r>
      <w:r w:rsidR="0078393C">
        <w:rPr>
          <w:rFonts w:cs="Times New Roman"/>
          <w:szCs w:val="24"/>
        </w:rPr>
        <w:t xml:space="preserve">za RAO </w:t>
      </w:r>
      <w:r w:rsidRPr="00C07BE5">
        <w:rPr>
          <w:rFonts w:cs="Times New Roman"/>
          <w:szCs w:val="24"/>
        </w:rPr>
        <w:t xml:space="preserve">u postojećim skladištima </w:t>
      </w:r>
      <w:r w:rsidR="00DA0F1D">
        <w:rPr>
          <w:rFonts w:cs="Times New Roman"/>
          <w:szCs w:val="24"/>
        </w:rPr>
        <w:t>elektrane</w:t>
      </w:r>
      <w:r w:rsidRPr="00C07BE5">
        <w:rPr>
          <w:rFonts w:cs="Times New Roman"/>
          <w:szCs w:val="24"/>
        </w:rPr>
        <w:t xml:space="preserve">. Za razgradnju i zbrinjavanje parogeneratora je pristigla jedna ponuda. </w:t>
      </w:r>
      <w:r w:rsidR="0078393C">
        <w:rPr>
          <w:rFonts w:cs="Times New Roman"/>
          <w:szCs w:val="24"/>
        </w:rPr>
        <w:t>NEK</w:t>
      </w:r>
      <w:r w:rsidRPr="00C07BE5">
        <w:rPr>
          <w:rFonts w:cs="Times New Roman"/>
          <w:szCs w:val="24"/>
        </w:rPr>
        <w:t xml:space="preserve"> je </w:t>
      </w:r>
      <w:r w:rsidR="00DA0F1D">
        <w:rPr>
          <w:rFonts w:cs="Times New Roman"/>
          <w:szCs w:val="24"/>
        </w:rPr>
        <w:t xml:space="preserve">samostalno </w:t>
      </w:r>
      <w:r w:rsidRPr="00C07BE5">
        <w:rPr>
          <w:rFonts w:cs="Times New Roman"/>
          <w:szCs w:val="24"/>
        </w:rPr>
        <w:t xml:space="preserve">pokrenuo izradu transportne studije koja </w:t>
      </w:r>
      <w:r w:rsidR="00DA0F1D">
        <w:rPr>
          <w:rFonts w:cs="Times New Roman"/>
          <w:szCs w:val="24"/>
        </w:rPr>
        <w:t>je</w:t>
      </w:r>
      <w:r w:rsidRPr="00C07BE5">
        <w:rPr>
          <w:rFonts w:cs="Times New Roman"/>
          <w:szCs w:val="24"/>
        </w:rPr>
        <w:t xml:space="preserve"> da</w:t>
      </w:r>
      <w:r w:rsidR="00DA0F1D">
        <w:rPr>
          <w:rFonts w:cs="Times New Roman"/>
          <w:szCs w:val="24"/>
        </w:rPr>
        <w:t>la</w:t>
      </w:r>
      <w:r w:rsidRPr="00C07BE5">
        <w:rPr>
          <w:rFonts w:cs="Times New Roman"/>
          <w:szCs w:val="24"/>
        </w:rPr>
        <w:t xml:space="preserve"> procjenu potrebnih zahvata u prometnu infrastrukturu </w:t>
      </w:r>
      <w:r w:rsidR="00DA0F1D">
        <w:rPr>
          <w:rFonts w:cs="Times New Roman"/>
          <w:szCs w:val="24"/>
        </w:rPr>
        <w:t xml:space="preserve">kako bi se omogućio </w:t>
      </w:r>
      <w:r w:rsidRPr="00C07BE5">
        <w:rPr>
          <w:rFonts w:cs="Times New Roman"/>
          <w:szCs w:val="24"/>
        </w:rPr>
        <w:t>prijevoz parogeneratora do luke Koper. NEK</w:t>
      </w:r>
      <w:r w:rsidR="00DA0F1D">
        <w:rPr>
          <w:rFonts w:cs="Times New Roman"/>
          <w:szCs w:val="24"/>
        </w:rPr>
        <w:t xml:space="preserve"> je također</w:t>
      </w:r>
      <w:r w:rsidRPr="00C07BE5">
        <w:rPr>
          <w:rFonts w:cs="Times New Roman"/>
          <w:szCs w:val="24"/>
        </w:rPr>
        <w:t xml:space="preserve"> </w:t>
      </w:r>
      <w:r w:rsidR="00DA0F1D">
        <w:rPr>
          <w:rFonts w:cs="Times New Roman"/>
          <w:szCs w:val="24"/>
        </w:rPr>
        <w:t xml:space="preserve">proveo </w:t>
      </w:r>
      <w:r w:rsidRPr="00C07BE5">
        <w:rPr>
          <w:rFonts w:cs="Times New Roman"/>
          <w:szCs w:val="24"/>
        </w:rPr>
        <w:t xml:space="preserve">nabave za uzimanje briseva i analize uzoraka kojima će se utvrditi razina kontaminacije parogeneratora. </w:t>
      </w:r>
      <w:r w:rsidR="0078393C">
        <w:rPr>
          <w:rFonts w:cs="Times New Roman"/>
          <w:szCs w:val="24"/>
        </w:rPr>
        <w:t>Konačna odluka o eventualnom izvozu parogeneratora bit će donesena u 2024.</w:t>
      </w:r>
    </w:p>
    <w:p w14:paraId="07E8D2BE" w14:textId="48C85146" w:rsidR="00F314E5" w:rsidRPr="00C07BE5" w:rsidRDefault="00DA0F1D" w:rsidP="00881B74">
      <w:pPr>
        <w:rPr>
          <w:rFonts w:cs="Times New Roman"/>
          <w:szCs w:val="24"/>
        </w:rPr>
      </w:pPr>
      <w:r>
        <w:rPr>
          <w:rFonts w:cs="Times New Roman"/>
          <w:szCs w:val="24"/>
        </w:rPr>
        <w:t xml:space="preserve">U cilju redukcije volumena RAO u NEK-u, proveden je i postupak javne nabave </w:t>
      </w:r>
      <w:r w:rsidR="007F647B" w:rsidRPr="00C07BE5">
        <w:rPr>
          <w:rFonts w:cs="Times New Roman"/>
          <w:szCs w:val="24"/>
        </w:rPr>
        <w:t>spaljivanj</w:t>
      </w:r>
      <w:r>
        <w:rPr>
          <w:rFonts w:cs="Times New Roman"/>
          <w:szCs w:val="24"/>
        </w:rPr>
        <w:t>a</w:t>
      </w:r>
      <w:r w:rsidR="007F647B" w:rsidRPr="00C07BE5">
        <w:rPr>
          <w:rFonts w:cs="Times New Roman"/>
          <w:szCs w:val="24"/>
        </w:rPr>
        <w:t xml:space="preserve"> primarnih smola</w:t>
      </w:r>
      <w:r>
        <w:rPr>
          <w:rFonts w:cs="Times New Roman"/>
          <w:szCs w:val="24"/>
        </w:rPr>
        <w:t xml:space="preserve">. Dobivena je jedna </w:t>
      </w:r>
      <w:r w:rsidR="007F647B" w:rsidRPr="00C07BE5">
        <w:rPr>
          <w:rFonts w:cs="Times New Roman"/>
          <w:szCs w:val="24"/>
        </w:rPr>
        <w:t xml:space="preserve">ponuda koja nije </w:t>
      </w:r>
      <w:r w:rsidR="00D406A2">
        <w:rPr>
          <w:rFonts w:cs="Times New Roman"/>
          <w:szCs w:val="24"/>
        </w:rPr>
        <w:t xml:space="preserve">bila </w:t>
      </w:r>
      <w:r w:rsidR="007F647B" w:rsidRPr="00C07BE5">
        <w:rPr>
          <w:rFonts w:cs="Times New Roman"/>
          <w:szCs w:val="24"/>
        </w:rPr>
        <w:t xml:space="preserve">u skladu sa zahtjevima natječajne dokumentacije, te je nabava poništena. </w:t>
      </w:r>
      <w:r>
        <w:rPr>
          <w:rFonts w:cs="Times New Roman"/>
          <w:szCs w:val="24"/>
        </w:rPr>
        <w:t xml:space="preserve">Zaključeno je </w:t>
      </w:r>
      <w:r w:rsidR="007F647B" w:rsidRPr="00C07BE5">
        <w:rPr>
          <w:rFonts w:cs="Times New Roman"/>
          <w:szCs w:val="24"/>
        </w:rPr>
        <w:t xml:space="preserve">da </w:t>
      </w:r>
      <w:r>
        <w:rPr>
          <w:rFonts w:cs="Times New Roman"/>
          <w:szCs w:val="24"/>
        </w:rPr>
        <w:t xml:space="preserve">će </w:t>
      </w:r>
      <w:r w:rsidR="007F647B" w:rsidRPr="00C07BE5">
        <w:rPr>
          <w:rFonts w:cs="Times New Roman"/>
          <w:szCs w:val="24"/>
        </w:rPr>
        <w:t xml:space="preserve">se </w:t>
      </w:r>
      <w:r>
        <w:rPr>
          <w:rFonts w:cs="Times New Roman"/>
          <w:szCs w:val="24"/>
        </w:rPr>
        <w:t xml:space="preserve">najprije </w:t>
      </w:r>
      <w:r w:rsidR="007F647B" w:rsidRPr="00C07BE5">
        <w:rPr>
          <w:rFonts w:cs="Times New Roman"/>
          <w:szCs w:val="24"/>
        </w:rPr>
        <w:t>izradi</w:t>
      </w:r>
      <w:r>
        <w:rPr>
          <w:rFonts w:cs="Times New Roman"/>
          <w:szCs w:val="24"/>
        </w:rPr>
        <w:t>ti</w:t>
      </w:r>
      <w:r w:rsidR="007F647B" w:rsidRPr="00C07BE5">
        <w:rPr>
          <w:rFonts w:cs="Times New Roman"/>
          <w:szCs w:val="24"/>
        </w:rPr>
        <w:t xml:space="preserve"> studija izvodljivosti u okviru koje bi se provela probna obrada na manjem uzorku otpada kako bi se potvrdila izvodljivost predloženog koncepta zbrinjavanja. </w:t>
      </w:r>
    </w:p>
    <w:p w14:paraId="41B5F0B7" w14:textId="143E501B" w:rsidR="007F647B" w:rsidRPr="00C07BE5" w:rsidRDefault="007F647B" w:rsidP="007F647B">
      <w:pPr>
        <w:pStyle w:val="Heading3"/>
        <w:rPr>
          <w:rFonts w:ascii="Times New Roman" w:hAnsi="Times New Roman" w:cs="Times New Roman"/>
          <w:sz w:val="28"/>
          <w:szCs w:val="28"/>
        </w:rPr>
      </w:pPr>
      <w:bookmarkStart w:id="43" w:name="_Toc158992034"/>
      <w:r w:rsidRPr="00C07BE5">
        <w:rPr>
          <w:rFonts w:ascii="Times New Roman" w:hAnsi="Times New Roman" w:cs="Times New Roman"/>
          <w:sz w:val="28"/>
          <w:szCs w:val="28"/>
        </w:rPr>
        <w:t>Domaća i međunarodna stručna suradnja</w:t>
      </w:r>
      <w:bookmarkEnd w:id="43"/>
    </w:p>
    <w:p w14:paraId="249FDF98" w14:textId="3678E472" w:rsidR="007F647B" w:rsidRPr="00C07BE5" w:rsidRDefault="007F647B" w:rsidP="00881B74">
      <w:pPr>
        <w:rPr>
          <w:rFonts w:cs="Times New Roman"/>
          <w:szCs w:val="24"/>
        </w:rPr>
      </w:pPr>
      <w:r w:rsidRPr="00C07BE5">
        <w:rPr>
          <w:rFonts w:cs="Times New Roman"/>
          <w:szCs w:val="24"/>
        </w:rPr>
        <w:t>Najveći dio edukacije i razmjene iskustava i dobrih praksi provodi</w:t>
      </w:r>
      <w:r w:rsidR="00D406A2">
        <w:rPr>
          <w:rFonts w:cs="Times New Roman"/>
          <w:szCs w:val="24"/>
        </w:rPr>
        <w:t>o</w:t>
      </w:r>
      <w:r w:rsidRPr="00C07BE5">
        <w:rPr>
          <w:rFonts w:cs="Times New Roman"/>
          <w:szCs w:val="24"/>
        </w:rPr>
        <w:t xml:space="preserve"> se kroz sudjelovanje </w:t>
      </w:r>
      <w:r w:rsidR="00D406A2">
        <w:rPr>
          <w:rFonts w:cs="Times New Roman"/>
          <w:szCs w:val="24"/>
        </w:rPr>
        <w:t>na</w:t>
      </w:r>
      <w:r w:rsidRPr="00C07BE5">
        <w:rPr>
          <w:rFonts w:cs="Times New Roman"/>
          <w:szCs w:val="24"/>
        </w:rPr>
        <w:t xml:space="preserve"> sastancima, radionicama i tečajevima organiziranim u okviru nacionalnih, regionalnih i međunarodnih projekata, stručnih radnih grupa i foruma te on-line tečajeva IAEA i OECD-ove Agencije za nuklearnu energiju (NEA). Između ostalog</w:t>
      </w:r>
      <w:r w:rsidR="00D406A2">
        <w:rPr>
          <w:rFonts w:cs="Times New Roman"/>
          <w:szCs w:val="24"/>
        </w:rPr>
        <w:t>,</w:t>
      </w:r>
      <w:r w:rsidRPr="00C07BE5">
        <w:rPr>
          <w:rFonts w:cs="Times New Roman"/>
          <w:szCs w:val="24"/>
        </w:rPr>
        <w:t xml:space="preserve"> predstavnici Fonda sudjelovali su </w:t>
      </w:r>
      <w:r w:rsidR="00D406A2">
        <w:rPr>
          <w:rFonts w:cs="Times New Roman"/>
          <w:szCs w:val="24"/>
        </w:rPr>
        <w:t xml:space="preserve">2023. </w:t>
      </w:r>
      <w:r w:rsidRPr="00C07BE5">
        <w:rPr>
          <w:rFonts w:cs="Times New Roman"/>
          <w:szCs w:val="24"/>
        </w:rPr>
        <w:t xml:space="preserve">na Generalnoj konferenciji IAEA, </w:t>
      </w:r>
      <w:r w:rsidR="00D406A2">
        <w:rPr>
          <w:rFonts w:cs="Times New Roman"/>
          <w:szCs w:val="24"/>
        </w:rPr>
        <w:t xml:space="preserve">izvještajnom sastanku o provedbi IAEA Konvencije o nuklearnoj sigurnosti, </w:t>
      </w:r>
      <w:r w:rsidRPr="00C07BE5">
        <w:rPr>
          <w:rFonts w:cs="Times New Roman"/>
          <w:szCs w:val="24"/>
        </w:rPr>
        <w:t>tehničkim sastancima IAEA mreže za podzemne istraživačke laboratorije (URF), godišnjem sastanku EURAD (</w:t>
      </w:r>
      <w:r w:rsidRPr="00C07BE5">
        <w:rPr>
          <w:rFonts w:cs="Times New Roman"/>
          <w:i/>
          <w:iCs/>
          <w:szCs w:val="24"/>
        </w:rPr>
        <w:t>European Partnership in radioactive waste management)</w:t>
      </w:r>
      <w:r w:rsidRPr="00C07BE5">
        <w:rPr>
          <w:rFonts w:cs="Times New Roman"/>
          <w:szCs w:val="24"/>
        </w:rPr>
        <w:t xml:space="preserve"> Programa te </w:t>
      </w:r>
      <w:r w:rsidR="00D406A2">
        <w:rPr>
          <w:rFonts w:cs="Times New Roman"/>
          <w:szCs w:val="24"/>
        </w:rPr>
        <w:t>Drugom i</w:t>
      </w:r>
      <w:r w:rsidRPr="00C07BE5">
        <w:rPr>
          <w:rFonts w:cs="Times New Roman"/>
          <w:szCs w:val="24"/>
        </w:rPr>
        <w:t>nterdisciplinarnom istraživačkom simpoziju u Berlinu (SafeND).</w:t>
      </w:r>
    </w:p>
    <w:p w14:paraId="24519107" w14:textId="63A79A1B" w:rsidR="007F647B" w:rsidRPr="00C07BE5" w:rsidRDefault="007F647B" w:rsidP="00881B74">
      <w:pPr>
        <w:rPr>
          <w:rFonts w:cs="Times New Roman"/>
          <w:szCs w:val="24"/>
        </w:rPr>
      </w:pPr>
      <w:r w:rsidRPr="00C07BE5">
        <w:rPr>
          <w:rFonts w:cs="Times New Roman"/>
          <w:szCs w:val="24"/>
        </w:rPr>
        <w:t xml:space="preserve">Početkom lipnja predstavnici Fonda sudjelovali su na godišnjoj konferenciji Bugarskog nuklearnog društva gdje je dogovorena suradnja s bugarskom organizacijom za zbrinjavanje RAO (DPRAO) vezano uz mogućnost uspostave proizvodnje betonskih kontejnera u RH. U rujnu je organiziran posjet Bugarskom skladištu NSRAO-a na lokaciji NE Kozloduy kao i lokaciji budućeg nacionalnog odlagališta NSRAO-a Radiana u cilju prikupljanja informacija o svojstvima betonskih RCC kontejnera i njihovom skladištenju i odlaganju. </w:t>
      </w:r>
    </w:p>
    <w:p w14:paraId="683585F8" w14:textId="6DAF8704" w:rsidR="007F647B" w:rsidRPr="00C07BE5" w:rsidRDefault="007F647B" w:rsidP="00881B74">
      <w:pPr>
        <w:rPr>
          <w:rFonts w:cs="Times New Roman"/>
          <w:szCs w:val="24"/>
        </w:rPr>
      </w:pPr>
      <w:r w:rsidRPr="00C07BE5">
        <w:rPr>
          <w:rFonts w:cs="Times New Roman"/>
          <w:szCs w:val="24"/>
        </w:rPr>
        <w:t xml:space="preserve">U okviru ERDO udruge nastavljena je suradnja Fonda s organizacijama odgovornim za zbrinjavanje radioaktivnog otpada i istrošenoga nuklearnog goriva iz drugih zemalja na iznalaženju mogućih zajedničkih rješenja i zajedničkoj provedbi projekata. U predmetnom razdoblju održana su tri sastanka, završeni su zajednički projekti pokrenuti tijekom 2021-2022, a pokrenuti novi u suradnji s </w:t>
      </w:r>
      <w:r w:rsidRPr="00C07BE5">
        <w:rPr>
          <w:rFonts w:cs="Times New Roman"/>
          <w:szCs w:val="24"/>
        </w:rPr>
        <w:lastRenderedPageBreak/>
        <w:t>OECD - NEA, Generaln</w:t>
      </w:r>
      <w:r w:rsidR="00B964C4">
        <w:rPr>
          <w:rFonts w:cs="Times New Roman"/>
          <w:szCs w:val="24"/>
        </w:rPr>
        <w:t>im</w:t>
      </w:r>
      <w:r w:rsidRPr="00C07BE5">
        <w:rPr>
          <w:rFonts w:cs="Times New Roman"/>
          <w:szCs w:val="24"/>
        </w:rPr>
        <w:t xml:space="preserve"> direktorat</w:t>
      </w:r>
      <w:r w:rsidR="00B964C4">
        <w:rPr>
          <w:rFonts w:cs="Times New Roman"/>
          <w:szCs w:val="24"/>
        </w:rPr>
        <w:t>tom</w:t>
      </w:r>
      <w:r w:rsidRPr="00C07BE5">
        <w:rPr>
          <w:rFonts w:cs="Times New Roman"/>
          <w:szCs w:val="24"/>
        </w:rPr>
        <w:t xml:space="preserve"> za energiju Europske komisije (DG-ENER) u okviru EURAD-2 Programa te s Direktoratom za energiju Sjedinjenih Američkih Država (US DoE). </w:t>
      </w:r>
    </w:p>
    <w:p w14:paraId="68615F6C" w14:textId="075CDE27" w:rsidR="007F647B" w:rsidRPr="00C07BE5" w:rsidRDefault="007F647B" w:rsidP="00881B74">
      <w:pPr>
        <w:rPr>
          <w:rFonts w:cs="Times New Roman"/>
          <w:szCs w:val="24"/>
        </w:rPr>
      </w:pPr>
      <w:r w:rsidRPr="00C07BE5">
        <w:rPr>
          <w:rFonts w:cs="Times New Roman"/>
          <w:szCs w:val="24"/>
        </w:rPr>
        <w:t xml:space="preserve">Od </w:t>
      </w:r>
      <w:r w:rsidR="00D406A2">
        <w:rPr>
          <w:rFonts w:cs="Times New Roman"/>
          <w:szCs w:val="24"/>
        </w:rPr>
        <w:t xml:space="preserve">prosinca </w:t>
      </w:r>
      <w:r w:rsidRPr="00C07BE5">
        <w:rPr>
          <w:rFonts w:cs="Times New Roman"/>
          <w:szCs w:val="24"/>
        </w:rPr>
        <w:t xml:space="preserve">2023. godine Fond je uključen u </w:t>
      </w:r>
      <w:r w:rsidRPr="00C07BE5">
        <w:rPr>
          <w:rFonts w:cs="Times New Roman"/>
          <w:i/>
          <w:iCs/>
          <w:szCs w:val="24"/>
        </w:rPr>
        <w:t>Club of Agencies</w:t>
      </w:r>
      <w:r w:rsidRPr="00C07BE5">
        <w:rPr>
          <w:rFonts w:cs="Times New Roman"/>
          <w:szCs w:val="24"/>
        </w:rPr>
        <w:t xml:space="preserve"> (CoA), </w:t>
      </w:r>
      <w:r w:rsidR="00D406A2">
        <w:rPr>
          <w:rFonts w:cs="Times New Roman"/>
          <w:szCs w:val="24"/>
        </w:rPr>
        <w:t xml:space="preserve">neformalnu udruženje </w:t>
      </w:r>
      <w:r w:rsidRPr="00C07BE5">
        <w:rPr>
          <w:rFonts w:cs="Times New Roman"/>
          <w:szCs w:val="24"/>
        </w:rPr>
        <w:t xml:space="preserve">europskih organizacija odgovornih za zbrinjavanje radioaktivnog otpada te je predstavnik Fonda sudjelovao na 74. sastanku u Luksemburgu. CoA je osnovana prije 37 godina s ciljem razmjene informacija i iskustava vezanih uz zbrinjavanje radioaktivnog otpada i istrošenoga nuklearnog goriva. </w:t>
      </w:r>
    </w:p>
    <w:p w14:paraId="7A969463" w14:textId="2884B6FC" w:rsidR="007F647B" w:rsidRPr="00C07BE5" w:rsidRDefault="007F647B" w:rsidP="00881B74">
      <w:pPr>
        <w:rPr>
          <w:rFonts w:cs="Times New Roman"/>
          <w:szCs w:val="24"/>
        </w:rPr>
      </w:pPr>
      <w:r w:rsidRPr="00C07BE5">
        <w:rPr>
          <w:rFonts w:cs="Times New Roman"/>
          <w:szCs w:val="24"/>
        </w:rPr>
        <w:t xml:space="preserve">U 2023. godini </w:t>
      </w:r>
      <w:r w:rsidR="00D406A2">
        <w:rPr>
          <w:rFonts w:cs="Times New Roman"/>
          <w:szCs w:val="24"/>
        </w:rPr>
        <w:t>intenzivno se surađivalo</w:t>
      </w:r>
      <w:r w:rsidRPr="00C07BE5">
        <w:rPr>
          <w:rFonts w:cs="Times New Roman"/>
          <w:szCs w:val="24"/>
        </w:rPr>
        <w:t xml:space="preserve"> s Ministarstvom unutarnjih poslova (Ravnateljstvo civilne zaštite</w:t>
      </w:r>
      <w:r w:rsidR="00C95F5A">
        <w:rPr>
          <w:rFonts w:cs="Times New Roman"/>
          <w:szCs w:val="24"/>
        </w:rPr>
        <w:t xml:space="preserve"> - </w:t>
      </w:r>
      <w:r w:rsidRPr="00C07BE5">
        <w:rPr>
          <w:rFonts w:cs="Times New Roman"/>
          <w:szCs w:val="24"/>
        </w:rPr>
        <w:t xml:space="preserve">Sektor za radiološku i nuklearnu sigurnost) prvenstveno u pripremi misije ARTEMIS, izvještavanju o provedbi Nacionalnog programa te planiranju projekata tehničke suradnje s Međunarodnom agencijom za atomsku energiju. </w:t>
      </w:r>
    </w:p>
    <w:p w14:paraId="0B74D6A0" w14:textId="45F42590" w:rsidR="000534B3" w:rsidRPr="00C07BE5" w:rsidRDefault="000534B3" w:rsidP="000534B3">
      <w:pPr>
        <w:pStyle w:val="Heading2"/>
        <w:rPr>
          <w:rFonts w:ascii="Times New Roman" w:hAnsi="Times New Roman" w:cs="Times New Roman"/>
        </w:rPr>
      </w:pPr>
      <w:bookmarkStart w:id="44" w:name="_Toc80697097"/>
      <w:bookmarkStart w:id="45" w:name="_Toc127350260"/>
      <w:bookmarkStart w:id="46" w:name="_Toc158992035"/>
      <w:r w:rsidRPr="00C07BE5">
        <w:rPr>
          <w:rFonts w:ascii="Times New Roman" w:hAnsi="Times New Roman" w:cs="Times New Roman"/>
        </w:rPr>
        <w:t>Odnosi s javnošću</w:t>
      </w:r>
      <w:bookmarkEnd w:id="44"/>
      <w:bookmarkEnd w:id="45"/>
      <w:bookmarkEnd w:id="46"/>
    </w:p>
    <w:p w14:paraId="0EBBCDF3" w14:textId="77777777" w:rsidR="00463709" w:rsidRPr="00C07BE5" w:rsidRDefault="00463709" w:rsidP="00463709">
      <w:pPr>
        <w:pStyle w:val="Heading3"/>
        <w:rPr>
          <w:rFonts w:ascii="Times New Roman" w:hAnsi="Times New Roman" w:cs="Times New Roman"/>
          <w:sz w:val="28"/>
          <w:szCs w:val="28"/>
        </w:rPr>
      </w:pPr>
      <w:bookmarkStart w:id="47" w:name="_Toc102569189"/>
      <w:bookmarkStart w:id="48" w:name="_Toc102569190"/>
      <w:bookmarkStart w:id="49" w:name="_Toc102569191"/>
      <w:bookmarkStart w:id="50" w:name="_Toc102569192"/>
      <w:bookmarkStart w:id="51" w:name="_Toc102569194"/>
      <w:bookmarkStart w:id="52" w:name="_Toc102569195"/>
      <w:bookmarkStart w:id="53" w:name="_Toc102569196"/>
      <w:bookmarkStart w:id="54" w:name="_Toc102569197"/>
      <w:bookmarkStart w:id="55" w:name="_Toc102569198"/>
      <w:bookmarkStart w:id="56" w:name="_Toc102569199"/>
      <w:bookmarkStart w:id="57" w:name="_Toc102569200"/>
      <w:bookmarkStart w:id="58" w:name="_Toc102569201"/>
      <w:bookmarkStart w:id="59" w:name="_Toc102569202"/>
      <w:bookmarkStart w:id="60" w:name="_Toc102569203"/>
      <w:bookmarkStart w:id="61" w:name="_Toc102569204"/>
      <w:bookmarkStart w:id="62" w:name="_Toc102569205"/>
      <w:bookmarkStart w:id="63" w:name="_Toc102569206"/>
      <w:bookmarkStart w:id="64" w:name="_Toc102569207"/>
      <w:bookmarkStart w:id="65" w:name="_Toc102569208"/>
      <w:bookmarkStart w:id="66" w:name="_Toc102569209"/>
      <w:bookmarkStart w:id="67" w:name="_Toc102569210"/>
      <w:bookmarkStart w:id="68" w:name="_Toc102569211"/>
      <w:bookmarkStart w:id="69" w:name="_Toc102569212"/>
      <w:bookmarkStart w:id="70" w:name="_Toc102569213"/>
      <w:bookmarkStart w:id="71" w:name="_Toc102569215"/>
      <w:bookmarkStart w:id="72" w:name="_Toc102569216"/>
      <w:bookmarkStart w:id="73" w:name="_Toc102569217"/>
      <w:bookmarkStart w:id="74" w:name="_Toc102569219"/>
      <w:bookmarkStart w:id="75" w:name="_Toc102569220"/>
      <w:bookmarkStart w:id="76" w:name="_Toc102569221"/>
      <w:bookmarkStart w:id="77" w:name="_Toc102569223"/>
      <w:bookmarkStart w:id="78" w:name="_Toc102569224"/>
      <w:bookmarkStart w:id="79" w:name="_Toc116999747"/>
      <w:bookmarkStart w:id="80" w:name="_Toc127350261"/>
      <w:bookmarkStart w:id="81" w:name="_Toc158992036"/>
      <w:bookmarkStart w:id="82" w:name="_Hlk86928224"/>
      <w:bookmarkStart w:id="83" w:name="_Toc80604338"/>
      <w:bookmarkStart w:id="84" w:name="_Toc8069710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C07BE5">
        <w:rPr>
          <w:rFonts w:ascii="Times New Roman" w:hAnsi="Times New Roman" w:cs="Times New Roman"/>
          <w:sz w:val="28"/>
          <w:szCs w:val="28"/>
        </w:rPr>
        <w:t>Socijalno-gospodarski aspekti razvoja lokalne zajednice</w:t>
      </w:r>
      <w:bookmarkEnd w:id="79"/>
      <w:bookmarkEnd w:id="80"/>
      <w:bookmarkEnd w:id="81"/>
    </w:p>
    <w:p w14:paraId="1FD69A20" w14:textId="13C83145" w:rsidR="00DB39BF" w:rsidRPr="00C07BE5" w:rsidRDefault="00DB39BF" w:rsidP="00DB39BF">
      <w:r w:rsidRPr="00A01B52">
        <w:t>Kako bi se izradile smjernice za ostvarivanje napretka i postigla maksimalna iskoristivost financijske</w:t>
      </w:r>
      <w:r w:rsidRPr="00C07BE5">
        <w:t xml:space="preserve"> podrške lokalnoj zajednici, Fond </w:t>
      </w:r>
      <w:r w:rsidR="00B964C4">
        <w:t xml:space="preserve">je i u 2023. </w:t>
      </w:r>
      <w:r w:rsidRPr="00C07BE5">
        <w:t xml:space="preserve">dio svojih </w:t>
      </w:r>
      <w:r w:rsidR="00B964C4">
        <w:t xml:space="preserve">resursa </w:t>
      </w:r>
      <w:r w:rsidRPr="00C07BE5">
        <w:t>usmjerava</w:t>
      </w:r>
      <w:r w:rsidR="00B964C4">
        <w:t>o</w:t>
      </w:r>
      <w:r w:rsidRPr="00C07BE5">
        <w:t xml:space="preserve"> prema definiranju smjera razvoja  lokalne zajednice. </w:t>
      </w:r>
    </w:p>
    <w:p w14:paraId="06E3925F" w14:textId="3A9684BD" w:rsidR="00DB39BF" w:rsidRPr="00C07BE5" w:rsidRDefault="00DB39BF" w:rsidP="00DB39BF">
      <w:r w:rsidRPr="00C07BE5">
        <w:t>U skladu s opredjeljenjem Općine Dvor za poljoprivredu kao održivi smjer razvitka, izrađena je Agroekološka studija i prezentirana stanovnicima Općine Dvor</w:t>
      </w:r>
      <w:r w:rsidR="00B84938" w:rsidRPr="00C07BE5">
        <w:t>.</w:t>
      </w:r>
    </w:p>
    <w:p w14:paraId="63730AB2" w14:textId="53555BBD" w:rsidR="00DB39BF" w:rsidRPr="00C07BE5" w:rsidRDefault="00DB39BF" w:rsidP="00DB39BF">
      <w:r w:rsidRPr="00C07BE5">
        <w:t xml:space="preserve">Tijekom veljače, ožujka, svibnja i srpnja </w:t>
      </w:r>
      <w:r w:rsidR="001156CE">
        <w:t>putem ag</w:t>
      </w:r>
      <w:r w:rsidR="00501CE8">
        <w:t>e</w:t>
      </w:r>
      <w:r w:rsidR="001156CE">
        <w:t xml:space="preserve">ncije za odnose s javnošću </w:t>
      </w:r>
      <w:r w:rsidRPr="00C07BE5">
        <w:t>provedeni su natječaji za dodjelu financijskih sredstava pčelarskim i športsko-ribolovnim udrugama iz područja Općine Dvor.</w:t>
      </w:r>
      <w:r w:rsidRPr="00C07BE5">
        <w:rPr>
          <w:rFonts w:cs="Times New Roman"/>
          <w:szCs w:val="24"/>
        </w:rPr>
        <w:t xml:space="preserve"> Dodijeljena su sredstva za prihranu pčela i nabavu refraktometra, nabavu opreme potrebne za čišćenje i održavanje obala i natjecateljskih staza, te opreme potrebne za ribolov u iznosu od 10.600 eura.</w:t>
      </w:r>
    </w:p>
    <w:p w14:paraId="4F6E33BE" w14:textId="77777777" w:rsidR="00DB39BF" w:rsidRPr="00C07BE5" w:rsidRDefault="00DB39BF" w:rsidP="00DB39BF">
      <w:r w:rsidRPr="00C07BE5">
        <w:t>Tijekom svibnja su Općine Dvor pogodile velike poplave, a zbog posljedica koje je poplava ostavila na pogođenom području Fond je donirao kardansku mobilnu pumpu visokog kapaciteta za ispumpavanje vode iz kuće Dobrovoljnom vatrogasnom društvu Dvor.</w:t>
      </w:r>
    </w:p>
    <w:p w14:paraId="51C3DB23" w14:textId="49276DCA" w:rsidR="00DB39BF" w:rsidRPr="00C07BE5" w:rsidRDefault="00DB39BF" w:rsidP="00DB39BF">
      <w:r w:rsidRPr="00C07BE5">
        <w:t xml:space="preserve">U sklopu suradnje sa Zavodom za javno zdravstvo Sisačko-moslavačke županije provođeni su preventivni zdravstveni programi kao što su Nacionalni program ranog otkrivanja raka debelog crijeva, besplatan mamografski pregled za sve žene s područja Općine Dvor i sl. </w:t>
      </w:r>
      <w:r w:rsidR="001156CE">
        <w:t xml:space="preserve">Mamografskom </w:t>
      </w:r>
      <w:r w:rsidR="001156CE" w:rsidRPr="00D12E61">
        <w:t>p</w:t>
      </w:r>
      <w:r w:rsidRPr="00D12E61">
        <w:t>regledu se odazvala 61 žena, a održan je u Info centru o radioaktivnom otpadu u Dvoru.</w:t>
      </w:r>
    </w:p>
    <w:p w14:paraId="61BAA2C2" w14:textId="77777777" w:rsidR="00DB39BF" w:rsidRPr="00C07BE5" w:rsidRDefault="00DB39BF" w:rsidP="00DB39BF">
      <w:pPr>
        <w:pStyle w:val="Heading3"/>
        <w:rPr>
          <w:rFonts w:ascii="Times New Roman" w:hAnsi="Times New Roman" w:cs="Times New Roman"/>
          <w:sz w:val="28"/>
          <w:szCs w:val="28"/>
        </w:rPr>
      </w:pPr>
      <w:bookmarkStart w:id="85" w:name="_Toc158992037"/>
      <w:r w:rsidRPr="00C07BE5">
        <w:rPr>
          <w:rFonts w:ascii="Times New Roman" w:hAnsi="Times New Roman" w:cs="Times New Roman"/>
          <w:sz w:val="28"/>
          <w:szCs w:val="28"/>
        </w:rPr>
        <w:t>Promotivne i informativno-edukativne aktivnosti</w:t>
      </w:r>
      <w:bookmarkEnd w:id="85"/>
    </w:p>
    <w:p w14:paraId="5002CC89" w14:textId="08ABB7ED" w:rsidR="00DB39BF" w:rsidRPr="00C07BE5" w:rsidRDefault="00DB39BF" w:rsidP="00DB39BF">
      <w:r w:rsidRPr="00C07BE5">
        <w:t>Tijekom svibnja i srpnja snimljene su emisije „Nastajanje i zbrinjavanje radioaktivnog otpada“ i „Prihvatljivost Centra za zbrinjavanje RAO za ekološku mrežu“. Uz direktora Fonda Josipa Lebegnera u emisiji u svibnju je sudjelovao i član uprave NE Krško Saša Medaković, a u srpnju Maja Jerman Vranić iz Ekonerga. Emisije su emitirane na lokalnim TV i radio postajama.</w:t>
      </w:r>
    </w:p>
    <w:p w14:paraId="00AF6467" w14:textId="59C9504F" w:rsidR="00DB39BF" w:rsidRPr="00C07BE5" w:rsidRDefault="00DB39BF" w:rsidP="00DB39BF">
      <w:r w:rsidRPr="00C07BE5">
        <w:t>Javnost je redovito informirana o projekt</w:t>
      </w:r>
      <w:r w:rsidR="001156CE">
        <w:t xml:space="preserve">u uspostave Centra za zbrinjavanje RAO </w:t>
      </w:r>
      <w:r w:rsidRPr="00C07BE5">
        <w:t xml:space="preserve">putem internetskih stranica i društvene mreže Fonda, te mjesečnog izdanja Newslettera. Newsletter se objavljuje na </w:t>
      </w:r>
      <w:r w:rsidRPr="00C07BE5">
        <w:lastRenderedPageBreak/>
        <w:t>internetskim stranicama Fonda, elektronička distribucija putem mailing liste zainteresiranih primatelja, te fizičkom distribucijom za lokalno stanovništvo u Dvoru, a tiskano izdanje je dostupno i u Info centru u Dvoru, te zubarskoj ordinaciji u Dvoru.</w:t>
      </w:r>
    </w:p>
    <w:p w14:paraId="63AB6403" w14:textId="74F30749" w:rsidR="00DB39BF" w:rsidRPr="00C07BE5" w:rsidRDefault="00DB39BF" w:rsidP="00DB39BF">
      <w:r w:rsidRPr="00C07BE5">
        <w:t>Fond je u travnju organizirao posjet 15-ak predstavnika lokalne zajednice</w:t>
      </w:r>
      <w:r w:rsidR="00501CE8">
        <w:t xml:space="preserve"> Općine Dvor</w:t>
      </w:r>
      <w:r w:rsidRPr="00C07BE5">
        <w:t xml:space="preserve"> slovačkom odlagalištu nisko i srednje radioaktivnog otpada i skladištu institucionalnog radioaktivnog otpada</w:t>
      </w:r>
      <w:r w:rsidR="00501CE8">
        <w:t xml:space="preserve"> Mochovce</w:t>
      </w:r>
      <w:r w:rsidRPr="00C07BE5">
        <w:t>. Nakon obilaska odlagališta održan je sastanak s</w:t>
      </w:r>
      <w:r w:rsidR="00501CE8">
        <w:t xml:space="preserve"> predstavnicima</w:t>
      </w:r>
      <w:r w:rsidRPr="00C07BE5">
        <w:t xml:space="preserve"> lokaln</w:t>
      </w:r>
      <w:r w:rsidR="00501CE8">
        <w:t xml:space="preserve">e </w:t>
      </w:r>
      <w:r w:rsidRPr="00C07BE5">
        <w:t>zajednic</w:t>
      </w:r>
      <w:r w:rsidR="00501CE8">
        <w:t xml:space="preserve">e iz Slovačke na kojemu </w:t>
      </w:r>
      <w:r w:rsidRPr="00C07BE5">
        <w:t xml:space="preserve"> su podijel</w:t>
      </w:r>
      <w:r w:rsidR="00501CE8">
        <w:t>jena</w:t>
      </w:r>
      <w:r w:rsidRPr="00C07BE5">
        <w:t xml:space="preserve"> iskustva o </w:t>
      </w:r>
      <w:r w:rsidR="00501CE8">
        <w:t>suživotu s radioaktivnim otpadom i promjenama koje su se dogodile u njihovoj svakodnevnici.</w:t>
      </w:r>
      <w:r w:rsidRPr="00C07BE5">
        <w:t xml:space="preserve"> </w:t>
      </w:r>
    </w:p>
    <w:p w14:paraId="4128A174" w14:textId="77777777" w:rsidR="00DB39BF" w:rsidRPr="00C07BE5" w:rsidRDefault="00DB39BF" w:rsidP="00DB39BF">
      <w:r w:rsidRPr="00C07BE5">
        <w:t>U I. osnovnoj školi Petrinja u travnju je održana izložba povodom Svjetskog dana obnovljivih izvora energije. Svoj doprinos izložbi Fond je dao ustupivši edukativne i promotivne materijale. Na izložbi su predstavljeni radovi učenika 8. razreda i učenika dodatne nastave iz geografije. Učenici su izradili plakate i makete solarne elektrane, vjetroelektrane i nuklearne elektrane.</w:t>
      </w:r>
    </w:p>
    <w:p w14:paraId="4EC6C6B1" w14:textId="77777777" w:rsidR="00DB39BF" w:rsidRPr="00C07BE5" w:rsidRDefault="00DB39BF" w:rsidP="00DB39BF">
      <w:r w:rsidRPr="00C07BE5">
        <w:t>U organizaciji Udruge maratonaca Sisačko-moslavačke županije „Heroji nikad ne umiru“, a pod pokroviteljstvom Fonda je održan Prvi polumaraton Dvor-Čerkezovac. Tom prigodom Fond je omogućio da se dio utrke održava na lokaciji Čerkezovac. U utrci je sudjelovalo 36 natjecatelja iz raznih dijelova Hrvatske, ali i iz susjedne BiH.</w:t>
      </w:r>
    </w:p>
    <w:p w14:paraId="3AC14F30" w14:textId="77777777" w:rsidR="00DB39BF" w:rsidRPr="00C07BE5" w:rsidRDefault="00DB39BF" w:rsidP="00DB39BF">
      <w:r w:rsidRPr="00C07BE5">
        <w:t>Od lipnja 2023. godine organiziraju se obilasci lokacije Čerkezovac za zainteresiranu javnost. Obilasci se održavaju jednom mjesečno, ovisno o prijavama posjetitelja.</w:t>
      </w:r>
    </w:p>
    <w:p w14:paraId="2507CAF1" w14:textId="77777777" w:rsidR="00DB39BF" w:rsidRPr="00C07BE5" w:rsidRDefault="00DB39BF" w:rsidP="00DB39BF">
      <w:r w:rsidRPr="00C07BE5">
        <w:t>U studenom su učenici Eko grupe iz Osnovne škole Dvor u organizaciji Fonda posjetili pogon za proizvodnju i preradu ljekovitog bilja Suban d.o.o. u Strmcu Samoborskom.</w:t>
      </w:r>
    </w:p>
    <w:p w14:paraId="3701459C" w14:textId="77777777" w:rsidR="00DB39BF" w:rsidRPr="00C07BE5" w:rsidRDefault="00DB39BF" w:rsidP="00DB39BF">
      <w:r w:rsidRPr="00C07BE5">
        <w:t>Tijekom 2023. godine završeni su video materijali, animacije, ilustracije i fotografije o provedenim istraživačkim radovima na lokaciji Centra, te su redovito objavljivani na web stranicama i društvenoj mreži Fonda.</w:t>
      </w:r>
    </w:p>
    <w:p w14:paraId="46D84524" w14:textId="77777777" w:rsidR="00DB39BF" w:rsidRPr="00C07BE5" w:rsidRDefault="00DB39BF" w:rsidP="00DB39BF">
      <w:r w:rsidRPr="00C07BE5">
        <w:t>U 2023. godini izrađena je Komunikacijska strategija za razdoblje od 2023. do 2025. godine.</w:t>
      </w:r>
    </w:p>
    <w:p w14:paraId="71E15D40" w14:textId="77777777" w:rsidR="00DB39BF" w:rsidRPr="00C07BE5" w:rsidRDefault="00DB39BF" w:rsidP="00DB39BF">
      <w:pPr>
        <w:pStyle w:val="Heading3"/>
        <w:rPr>
          <w:rFonts w:ascii="Times New Roman" w:hAnsi="Times New Roman" w:cs="Times New Roman"/>
          <w:sz w:val="28"/>
          <w:szCs w:val="28"/>
        </w:rPr>
      </w:pPr>
      <w:bookmarkStart w:id="86" w:name="_Toc158992038"/>
      <w:r w:rsidRPr="00C07BE5">
        <w:rPr>
          <w:rFonts w:ascii="Times New Roman" w:hAnsi="Times New Roman" w:cs="Times New Roman"/>
          <w:sz w:val="28"/>
          <w:szCs w:val="28"/>
        </w:rPr>
        <w:t>Info centri</w:t>
      </w:r>
      <w:bookmarkEnd w:id="86"/>
    </w:p>
    <w:p w14:paraId="6DC36505" w14:textId="2A6B67F1" w:rsidR="00DB39BF" w:rsidRPr="00C07BE5" w:rsidRDefault="00DB39BF" w:rsidP="00DB39BF">
      <w:r w:rsidRPr="00C07BE5">
        <w:t xml:space="preserve">Tijekom prvog polugodišta redovno su održavana predavanja za lokalnu javnost u suradnji sa Zavodom za javno zdravstvo Sisačko-moslavačke županije. Teme predavanja bile su bolesti koje prenose krpelji, debljina kao faktor rizika i Nacionalni programi otkrivanja raka, pravilna prehrana, antropozoonoza, bolesti koje prenose komarci, uloga pravilne prehrane u sprječavanju nastanka kroničkih nezaraznih bolesti, bolesti ovisnosti i polenozi. </w:t>
      </w:r>
    </w:p>
    <w:p w14:paraId="7C076BEC" w14:textId="77777777" w:rsidR="00DB39BF" w:rsidRPr="00C07BE5" w:rsidRDefault="00DB39BF" w:rsidP="00DB39BF">
      <w:r w:rsidRPr="00C07BE5">
        <w:t xml:space="preserve">U ožujku je Eko grupa iz Osnovne škole Dvor posjetila Info centar. </w:t>
      </w:r>
    </w:p>
    <w:p w14:paraId="43C4275C" w14:textId="45B82BF7" w:rsidR="00DB39BF" w:rsidRPr="00C07BE5" w:rsidRDefault="00DB39BF" w:rsidP="00DB39BF">
      <w:r w:rsidRPr="00501CE8">
        <w:t>Krajem 2023. godine Fond je</w:t>
      </w:r>
      <w:r w:rsidR="00501CE8" w:rsidRPr="00501CE8">
        <w:t xml:space="preserve"> krenuo s organiziranim </w:t>
      </w:r>
      <w:r w:rsidRPr="00501CE8">
        <w:t>obila</w:t>
      </w:r>
      <w:r w:rsidR="00501CE8" w:rsidRPr="00501CE8">
        <w:t>scima</w:t>
      </w:r>
      <w:r w:rsidRPr="00501CE8">
        <w:t xml:space="preserve"> Info centra u Dvoru za osme razrede osnovnih škola s područja Sisačko-moslavačke županije. Prva dva posjeta organizirana su u</w:t>
      </w:r>
      <w:r w:rsidRPr="00C07BE5">
        <w:t xml:space="preserve"> studenom</w:t>
      </w:r>
      <w:r w:rsidR="00501CE8">
        <w:t xml:space="preserve"> za </w:t>
      </w:r>
      <w:r w:rsidRPr="00C07BE5">
        <w:t>učeni</w:t>
      </w:r>
      <w:r w:rsidR="00501CE8">
        <w:t>ke</w:t>
      </w:r>
      <w:r w:rsidRPr="00C07BE5">
        <w:t xml:space="preserve"> Osnovne škole Dvor i Osnovne škole Vladimir Nazor iz Topuskog. Edukacija osnovnoškolskog </w:t>
      </w:r>
      <w:r w:rsidR="00501CE8">
        <w:t xml:space="preserve">uzrasta o radioaktivnom otpadu </w:t>
      </w:r>
      <w:r w:rsidRPr="00C07BE5">
        <w:t>proizlazi iz smjernica Nacionalnog programa</w:t>
      </w:r>
      <w:r w:rsidR="00A01B52">
        <w:t xml:space="preserve"> zbrinjavanja RAO, ING i iskorištenih izvora.</w:t>
      </w:r>
    </w:p>
    <w:p w14:paraId="5726BA2E" w14:textId="77777777" w:rsidR="00DB39BF" w:rsidRPr="00C07BE5" w:rsidRDefault="00DB39BF" w:rsidP="00DB39BF">
      <w:r w:rsidRPr="00C07BE5">
        <w:lastRenderedPageBreak/>
        <w:t xml:space="preserve">Info centar u Dvoru od njegova otvaranja posjetilo je 418 registriranih posjetitelja, od čega njih 327 u 2023. godini. </w:t>
      </w:r>
    </w:p>
    <w:p w14:paraId="03C154AD" w14:textId="30100010" w:rsidR="00DB39BF" w:rsidRPr="00C07BE5" w:rsidRDefault="00DB39BF" w:rsidP="00DB39BF">
      <w:r w:rsidRPr="00C07BE5">
        <w:t>U sklopu Festivala znanosti u Info centru u Zagrebu održano je predavanje na temu NEK i zbrinjavanje RAO u Republici Hrvatskoj. Predavanju i obilasku Info centra su prisustvovali učenici Srednje škole Nikola Tesla, Prirodoslovne škole Vladimir Prelog iz Zagreba i XI. gimnazije iz Zagreba.</w:t>
      </w:r>
    </w:p>
    <w:p w14:paraId="2ADA1BC8" w14:textId="77777777" w:rsidR="00DB39BF" w:rsidRPr="00C07BE5" w:rsidRDefault="00DB39BF" w:rsidP="00DB39BF">
      <w:pPr>
        <w:pStyle w:val="Heading3"/>
        <w:rPr>
          <w:rFonts w:ascii="Times New Roman" w:hAnsi="Times New Roman" w:cs="Times New Roman"/>
          <w:sz w:val="28"/>
          <w:szCs w:val="28"/>
        </w:rPr>
      </w:pPr>
      <w:bookmarkStart w:id="87" w:name="_Toc158992039"/>
      <w:r w:rsidRPr="00C07BE5">
        <w:rPr>
          <w:rFonts w:ascii="Times New Roman" w:hAnsi="Times New Roman" w:cs="Times New Roman"/>
          <w:sz w:val="28"/>
          <w:szCs w:val="28"/>
        </w:rPr>
        <w:t>Praćenje i analiza medija</w:t>
      </w:r>
      <w:bookmarkEnd w:id="87"/>
    </w:p>
    <w:p w14:paraId="0C68A492" w14:textId="77777777" w:rsidR="00DB39BF" w:rsidRPr="00C07BE5" w:rsidRDefault="00DB39BF" w:rsidP="00DB39BF">
      <w:r w:rsidRPr="00C07BE5">
        <w:t>Kontinuirano su praćene i analizirane medijske objave, održavana je komunikacija s medijima i pružani su odgovori na postavljana pitanja novinara i zainteresiranih građana. Mediji su redovito izvještavani o novostima na projektu pisanim putem, davanjem intervjua i gostovanjima u emisijama, te obilascima lokacija s novinarima i snimateljima.</w:t>
      </w:r>
    </w:p>
    <w:p w14:paraId="257E3182" w14:textId="77777777" w:rsidR="00DB39BF" w:rsidRPr="00C07BE5" w:rsidRDefault="00DB39BF" w:rsidP="00DB39BF">
      <w:r w:rsidRPr="00C07BE5">
        <w:t xml:space="preserve">Analiza medija se provodi na godišnjoj razini za hrvatske, bosansko hercegovačke i slovenske medije. Analiza pokazuje porast objava, te porast neutralnih i pozitivnih objava. </w:t>
      </w:r>
    </w:p>
    <w:p w14:paraId="753E121A" w14:textId="77777777" w:rsidR="00DB39BF" w:rsidRPr="00C07BE5" w:rsidRDefault="00DB39BF" w:rsidP="00DB39BF">
      <w:pPr>
        <w:pStyle w:val="Heading3"/>
        <w:rPr>
          <w:rFonts w:ascii="Times New Roman" w:hAnsi="Times New Roman" w:cs="Times New Roman"/>
          <w:sz w:val="28"/>
          <w:szCs w:val="28"/>
        </w:rPr>
      </w:pPr>
      <w:bookmarkStart w:id="88" w:name="_Toc158992040"/>
      <w:r w:rsidRPr="00C07BE5">
        <w:rPr>
          <w:rFonts w:ascii="Times New Roman" w:hAnsi="Times New Roman" w:cs="Times New Roman"/>
          <w:sz w:val="28"/>
          <w:szCs w:val="28"/>
        </w:rPr>
        <w:t>Suradnja s BiH</w:t>
      </w:r>
      <w:bookmarkEnd w:id="88"/>
    </w:p>
    <w:p w14:paraId="57E96902" w14:textId="35FBC179" w:rsidR="006644D2" w:rsidRDefault="00DB39BF" w:rsidP="00F53FAE">
      <w:r w:rsidRPr="00C07BE5">
        <w:t xml:space="preserve">U skladu s odredbama ESPOO konvencije, te prema dosadašnjim komunikacijskim aktivnostima, Fond je kontinuirano izvještavao javnost o tijeku projekta, te redovito odgovarao na sve zaprimljene upite od strane medija i predstavnika javnosti Bosne i Hercegovine. Pored toga, na 9. Izvještajnom sastanku Konvencije o nuklearnoj sigurnosti održanom u Međunarodnoj agenciji za atomsku energiju u Beču, predstavnik Fonda je sudjelovao u hrvatskoj delegaciji koja je odgovarala, između ostaloga i na niz pitanja BiH predstavnika. Seizmološkim zavodu Republike Srpske omogućeno je preuzimanje podataka s postavljenih seizmoloških postaja. </w:t>
      </w:r>
    </w:p>
    <w:p w14:paraId="1AD8F18E" w14:textId="77777777" w:rsidR="00F53FAE" w:rsidRPr="00F53FAE" w:rsidRDefault="00F53FAE" w:rsidP="00F53FAE">
      <w:pPr>
        <w:spacing w:after="0"/>
      </w:pPr>
    </w:p>
    <w:p w14:paraId="1E5F343E" w14:textId="338A0985" w:rsidR="009E71F3" w:rsidRPr="00C07BE5" w:rsidRDefault="009E71F3" w:rsidP="004829CD">
      <w:pPr>
        <w:pStyle w:val="Heading2"/>
        <w:rPr>
          <w:rFonts w:ascii="Times New Roman" w:hAnsi="Times New Roman" w:cs="Times New Roman"/>
        </w:rPr>
      </w:pPr>
      <w:bookmarkStart w:id="89" w:name="_Toc127350264"/>
      <w:bookmarkStart w:id="90" w:name="_Toc158992041"/>
      <w:r w:rsidRPr="00C07BE5">
        <w:rPr>
          <w:rFonts w:ascii="Times New Roman" w:hAnsi="Times New Roman" w:cs="Times New Roman"/>
        </w:rPr>
        <w:t>Ostali poslovi Fonda</w:t>
      </w:r>
      <w:bookmarkEnd w:id="89"/>
      <w:bookmarkEnd w:id="90"/>
    </w:p>
    <w:p w14:paraId="76F1C96F" w14:textId="3E855C03" w:rsidR="00D12E61" w:rsidRDefault="000B2E7A" w:rsidP="009F21C7">
      <w:pPr>
        <w:rPr>
          <w:rFonts w:cs="Times New Roman"/>
          <w:szCs w:val="24"/>
        </w:rPr>
      </w:pPr>
      <w:r w:rsidRPr="00C07BE5">
        <w:rPr>
          <w:rFonts w:cs="Times New Roman"/>
          <w:szCs w:val="24"/>
        </w:rPr>
        <w:t>Izm</w:t>
      </w:r>
      <w:r w:rsidR="00F70E36" w:rsidRPr="00C07BE5">
        <w:rPr>
          <w:rFonts w:cs="Times New Roman"/>
          <w:szCs w:val="24"/>
        </w:rPr>
        <w:t>i</w:t>
      </w:r>
      <w:r w:rsidRPr="00C07BE5">
        <w:rPr>
          <w:rFonts w:cs="Times New Roman"/>
          <w:szCs w:val="24"/>
        </w:rPr>
        <w:t xml:space="preserve">jenjena je </w:t>
      </w:r>
      <w:r w:rsidR="00544BDE" w:rsidRPr="00C07BE5">
        <w:rPr>
          <w:rFonts w:cs="Times New Roman"/>
          <w:szCs w:val="24"/>
        </w:rPr>
        <w:t xml:space="preserve">sistematizacija </w:t>
      </w:r>
      <w:r w:rsidRPr="00C07BE5">
        <w:rPr>
          <w:rFonts w:cs="Times New Roman"/>
          <w:szCs w:val="24"/>
        </w:rPr>
        <w:t xml:space="preserve">Fonda radi usklađenja s radnim procesima, zakonskim zahtjevima i budućim potrebama. </w:t>
      </w:r>
      <w:r w:rsidR="00D12E61">
        <w:rPr>
          <w:rFonts w:cs="Times New Roman"/>
          <w:szCs w:val="24"/>
        </w:rPr>
        <w:t>Uz nekoliko manjih izmjena, o</w:t>
      </w:r>
      <w:r w:rsidR="00D12E61" w:rsidRPr="00C07BE5">
        <w:rPr>
          <w:rFonts w:cs="Times New Roman"/>
          <w:szCs w:val="24"/>
        </w:rPr>
        <w:t xml:space="preserve">snovana je posebna organizacijska jedinica Centar za zbrinjavanje radioaktivnog otpada </w:t>
      </w:r>
      <w:r w:rsidR="00D12E61">
        <w:rPr>
          <w:rFonts w:cs="Times New Roman"/>
          <w:szCs w:val="24"/>
        </w:rPr>
        <w:t>u</w:t>
      </w:r>
      <w:r w:rsidRPr="00C07BE5">
        <w:rPr>
          <w:rFonts w:cs="Times New Roman"/>
          <w:szCs w:val="24"/>
        </w:rPr>
        <w:t xml:space="preserve">nutar </w:t>
      </w:r>
      <w:r w:rsidR="00C94AA3" w:rsidRPr="00C07BE5">
        <w:rPr>
          <w:rFonts w:cs="Times New Roman"/>
          <w:szCs w:val="24"/>
        </w:rPr>
        <w:t>Sektora za pripremu Programa razgradnje i odlaganja i provedbu Strategije radi usklađenja sa Zakonom o Fondu.</w:t>
      </w:r>
      <w:r w:rsidR="00D12E61">
        <w:rPr>
          <w:rFonts w:cs="Times New Roman"/>
          <w:szCs w:val="24"/>
        </w:rPr>
        <w:t xml:space="preserve"> Broj sistematiziranih radnih mjesta (38) nije se mijenjao. </w:t>
      </w:r>
    </w:p>
    <w:p w14:paraId="1CAC9436" w14:textId="77777777" w:rsidR="00F53FAE" w:rsidRPr="00F53FAE" w:rsidRDefault="00F53FAE" w:rsidP="00F53FAE">
      <w:pPr>
        <w:rPr>
          <w:rFonts w:cs="Times New Roman"/>
          <w:szCs w:val="24"/>
        </w:rPr>
      </w:pPr>
      <w:r w:rsidRPr="00F53FAE">
        <w:rPr>
          <w:rFonts w:cs="Times New Roman"/>
          <w:szCs w:val="24"/>
        </w:rPr>
        <w:t>Fond je definirao ciljeve kvalitete i informacijske sigurnosti prema normama ISO 9001 i ISO 27001 koji se redovito prate i koji su uključeni u poslovne procese. Također, aktivno se upravljalo rizicima i prilikama vezanim uz kvalitetu i informacijsku sigurnost te su se rizici tretirali prema njihovoj procijenjenoj razini a sve akcije poduzete za upravljanje rizicima i prilikama bile su učinkovite. Definiranjem ciljeva i upravljanjem rizicima kao i provedbom audita te ocjenom uprave (direktora Fonda) kontinuirano su se davale preporuke kako bi se integrirani sustav upravljanja kvalitetom i informacijskom sigurnošću neprekidno poboljšavao. Fond interno upravlja nesukladnostima i incidentima informatičke sigurnosti sukladno zahtjevima obje norme.</w:t>
      </w:r>
    </w:p>
    <w:p w14:paraId="23BE9623" w14:textId="77777777" w:rsidR="00F53FAE" w:rsidRPr="00F53FAE" w:rsidRDefault="00F53FAE" w:rsidP="00F53FAE">
      <w:pPr>
        <w:rPr>
          <w:rFonts w:cs="Times New Roman"/>
          <w:szCs w:val="24"/>
        </w:rPr>
      </w:pPr>
      <w:r w:rsidRPr="00F53FAE">
        <w:rPr>
          <w:rFonts w:cs="Times New Roman"/>
          <w:szCs w:val="24"/>
        </w:rPr>
        <w:lastRenderedPageBreak/>
        <w:t xml:space="preserve">Prilikom uspostave i implementacije integriranog sustava upravljanja kvalitetom i informacijskom sigurnošću, te kroz njegovo održavanje svi djelatnici su upoznati s politikama i postupcima, ciljevima te ovlastima i odgovornostima. Također, u listopadu je proveden prvi periodički audit od strane renomirane certifikacijske kuće, koji je rezultirao potvrđivanjem i usklađivanjem certifikata integriranog sustava upravljanja kvalitetom i informacijskom sigurnošću sa zahtjevima normi ISO 9001 i ISO 27001. Certifikacijska kuća je kao rezultat provedbe eksternog audita podnijela izvještaj uz preporuke koje su analizirane unutar organizacije (nisu pronađene nesukladnosti u integriranom sustavu upravljanja). </w:t>
      </w:r>
    </w:p>
    <w:p w14:paraId="6192913B" w14:textId="77777777" w:rsidR="00F53FAE" w:rsidRPr="00F53FAE" w:rsidRDefault="00F53FAE" w:rsidP="00F53FAE">
      <w:pPr>
        <w:rPr>
          <w:rFonts w:cs="Times New Roman"/>
          <w:szCs w:val="24"/>
        </w:rPr>
      </w:pPr>
      <w:r w:rsidRPr="00F53FAE">
        <w:rPr>
          <w:rFonts w:cs="Times New Roman"/>
          <w:szCs w:val="24"/>
        </w:rPr>
        <w:t xml:space="preserve">Vlada Republike Hrvatske je na svojoj 206. sjednici od 06. travnja 2023. godine dala suglasnost na Program rada i financijski plan Fonda za 2023. godinu. </w:t>
      </w:r>
    </w:p>
    <w:p w14:paraId="3B195605" w14:textId="77777777" w:rsidR="00F53FAE" w:rsidRDefault="00F53FAE" w:rsidP="00F53FAE">
      <w:pPr>
        <w:rPr>
          <w:rFonts w:cs="Times New Roman"/>
          <w:szCs w:val="24"/>
        </w:rPr>
      </w:pPr>
      <w:r w:rsidRPr="00F53FAE">
        <w:rPr>
          <w:rFonts w:cs="Times New Roman"/>
          <w:szCs w:val="24"/>
        </w:rPr>
        <w:t xml:space="preserve">Na 220. sjednici od 25. svibnja 2023. godine Vlada Republike Hrvatske </w:t>
      </w:r>
      <w:r>
        <w:rPr>
          <w:rFonts w:cs="Times New Roman"/>
          <w:szCs w:val="24"/>
        </w:rPr>
        <w:t>je:</w:t>
      </w:r>
    </w:p>
    <w:p w14:paraId="2F7E3A21" w14:textId="1CFEBFB5" w:rsidR="00F53FAE" w:rsidRPr="00F53FAE" w:rsidRDefault="00F53FAE" w:rsidP="00F53FAE">
      <w:pPr>
        <w:pStyle w:val="ListParagraph"/>
        <w:numPr>
          <w:ilvl w:val="0"/>
          <w:numId w:val="28"/>
        </w:numPr>
        <w:rPr>
          <w:rFonts w:cs="Times New Roman"/>
          <w:szCs w:val="24"/>
        </w:rPr>
      </w:pPr>
      <w:r>
        <w:rPr>
          <w:rFonts w:cs="Times New Roman"/>
          <w:szCs w:val="24"/>
        </w:rPr>
        <w:t>dala</w:t>
      </w:r>
      <w:r w:rsidRPr="00F53FAE">
        <w:rPr>
          <w:rFonts w:cs="Times New Roman"/>
          <w:szCs w:val="24"/>
        </w:rPr>
        <w:t xml:space="preserve"> suglasnosti na Izmjene i dopune Statuta Fonda koje su usklađene s novim Zakonom o Fondu za financiranje razgradnje i zbrinjavanja radioaktivnog otpada i istrošenoga nuklearnog goriva Nuklearne elektrane Krško (NN 21/22)</w:t>
      </w:r>
      <w:r>
        <w:rPr>
          <w:rFonts w:cs="Times New Roman"/>
          <w:szCs w:val="24"/>
        </w:rPr>
        <w:t>,</w:t>
      </w:r>
    </w:p>
    <w:p w14:paraId="5BB9E04A" w14:textId="770E2337" w:rsidR="00F53FAE" w:rsidRPr="00F53FAE" w:rsidRDefault="00F53FAE" w:rsidP="00F53FAE">
      <w:pPr>
        <w:pStyle w:val="ListParagraph"/>
        <w:numPr>
          <w:ilvl w:val="0"/>
          <w:numId w:val="27"/>
        </w:numPr>
        <w:rPr>
          <w:rFonts w:cs="Times New Roman"/>
          <w:szCs w:val="24"/>
        </w:rPr>
      </w:pPr>
      <w:r>
        <w:rPr>
          <w:rFonts w:cs="Times New Roman"/>
          <w:szCs w:val="24"/>
        </w:rPr>
        <w:t xml:space="preserve">prihvatila </w:t>
      </w:r>
      <w:r w:rsidRPr="00F53FAE">
        <w:rPr>
          <w:rFonts w:cs="Times New Roman"/>
          <w:szCs w:val="24"/>
        </w:rPr>
        <w:t>Izvješće o ostvarivanju programa rada i financijsko izvješće Fonda za 2022. godinu</w:t>
      </w:r>
      <w:r>
        <w:rPr>
          <w:rFonts w:cs="Times New Roman"/>
          <w:szCs w:val="24"/>
        </w:rPr>
        <w:t>.</w:t>
      </w:r>
    </w:p>
    <w:p w14:paraId="5D6E0084" w14:textId="69BC8897" w:rsidR="006D0F2B" w:rsidRDefault="00FF2D9C" w:rsidP="00FF2D9C">
      <w:pPr>
        <w:rPr>
          <w:rFonts w:cs="Times New Roman"/>
          <w:szCs w:val="24"/>
        </w:rPr>
      </w:pPr>
      <w:r w:rsidRPr="00BC57F5">
        <w:rPr>
          <w:rFonts w:cs="Times New Roman"/>
          <w:szCs w:val="24"/>
        </w:rPr>
        <w:t xml:space="preserve">Na </w:t>
      </w:r>
      <w:r>
        <w:rPr>
          <w:rFonts w:cs="Times New Roman"/>
          <w:szCs w:val="24"/>
        </w:rPr>
        <w:t xml:space="preserve">267. sjednici Vlade Republike Hrvatske od 30. studenoga 2023. godine, na </w:t>
      </w:r>
      <w:r w:rsidRPr="00BC57F5">
        <w:rPr>
          <w:rFonts w:cs="Times New Roman"/>
          <w:szCs w:val="24"/>
        </w:rPr>
        <w:t>osobni zahtjev razriješena je</w:t>
      </w:r>
      <w:r>
        <w:rPr>
          <w:rFonts w:cs="Times New Roman"/>
          <w:szCs w:val="24"/>
        </w:rPr>
        <w:t xml:space="preserve"> dosadašnja</w:t>
      </w:r>
      <w:r w:rsidRPr="00BC57F5">
        <w:rPr>
          <w:rFonts w:cs="Times New Roman"/>
          <w:szCs w:val="24"/>
        </w:rPr>
        <w:t xml:space="preserve"> članica Upravnog odbora Fonda dr.sc. Marijana Ivanov, a novom je članicom Upravnog odbora imenovana dr.sc. Dora Naletina, kao neovisna stručnjakinja iz područja financija</w:t>
      </w:r>
      <w:r>
        <w:rPr>
          <w:rFonts w:cs="Times New Roman"/>
          <w:szCs w:val="24"/>
        </w:rPr>
        <w:t xml:space="preserve">. </w:t>
      </w:r>
    </w:p>
    <w:p w14:paraId="6D724056" w14:textId="384D0420" w:rsidR="00FF2D9C" w:rsidRPr="00C07BE5" w:rsidRDefault="00FF2D9C" w:rsidP="00FF2D9C">
      <w:pPr>
        <w:rPr>
          <w:rFonts w:cs="Times New Roman"/>
          <w:szCs w:val="24"/>
        </w:rPr>
      </w:pPr>
      <w:r>
        <w:rPr>
          <w:rFonts w:cs="Times New Roman"/>
          <w:szCs w:val="24"/>
        </w:rPr>
        <w:t xml:space="preserve">U 2023. </w:t>
      </w:r>
      <w:r w:rsidR="00FD64F2">
        <w:rPr>
          <w:rFonts w:cs="Times New Roman"/>
          <w:szCs w:val="24"/>
        </w:rPr>
        <w:t xml:space="preserve">godini </w:t>
      </w:r>
      <w:r>
        <w:rPr>
          <w:rFonts w:cs="Times New Roman"/>
          <w:szCs w:val="24"/>
        </w:rPr>
        <w:t>održano je</w:t>
      </w:r>
      <w:r w:rsidR="00EB619D">
        <w:rPr>
          <w:rFonts w:cs="Times New Roman"/>
          <w:szCs w:val="24"/>
        </w:rPr>
        <w:t xml:space="preserve"> ukupno</w:t>
      </w:r>
      <w:r>
        <w:rPr>
          <w:rFonts w:cs="Times New Roman"/>
          <w:szCs w:val="24"/>
        </w:rPr>
        <w:t xml:space="preserve"> 13 sjednica Upravnog odbora. </w:t>
      </w:r>
    </w:p>
    <w:p w14:paraId="75A1A756" w14:textId="77777777" w:rsidR="007F647B" w:rsidRPr="00C07BE5" w:rsidRDefault="007F647B">
      <w:pPr>
        <w:spacing w:after="160" w:line="360" w:lineRule="auto"/>
        <w:jc w:val="left"/>
        <w:rPr>
          <w:rFonts w:cs="Times New Roman"/>
          <w:color w:val="646668"/>
          <w:sz w:val="44"/>
          <w:szCs w:val="44"/>
        </w:rPr>
      </w:pPr>
      <w:bookmarkStart w:id="91" w:name="_Toc80697105"/>
      <w:bookmarkStart w:id="92" w:name="_Toc127350265"/>
      <w:bookmarkEnd w:id="82"/>
      <w:bookmarkEnd w:id="83"/>
      <w:bookmarkEnd w:id="84"/>
      <w:r w:rsidRPr="00C07BE5">
        <w:br w:type="page"/>
      </w:r>
    </w:p>
    <w:p w14:paraId="38834F6F" w14:textId="05AA6998" w:rsidR="00423CDD" w:rsidRPr="00C07BE5" w:rsidRDefault="00423CDD" w:rsidP="001C1104">
      <w:pPr>
        <w:pStyle w:val="Heading1"/>
      </w:pPr>
      <w:bookmarkStart w:id="93" w:name="_Toc158992042"/>
      <w:r w:rsidRPr="00C07BE5">
        <w:lastRenderedPageBreak/>
        <w:t>Financijski pokazatelji</w:t>
      </w:r>
      <w:bookmarkEnd w:id="91"/>
      <w:bookmarkEnd w:id="92"/>
      <w:bookmarkEnd w:id="93"/>
    </w:p>
    <w:p w14:paraId="208B2C3E" w14:textId="5D597B87" w:rsidR="00423CDD" w:rsidRPr="00C07BE5" w:rsidRDefault="00C37D56" w:rsidP="00423CDD">
      <w:pPr>
        <w:pStyle w:val="Heading2"/>
        <w:rPr>
          <w:rFonts w:ascii="Times New Roman" w:hAnsi="Times New Roman" w:cs="Times New Roman"/>
        </w:rPr>
      </w:pPr>
      <w:bookmarkStart w:id="94" w:name="_Toc80697106"/>
      <w:bookmarkStart w:id="95" w:name="_Toc127350266"/>
      <w:bookmarkStart w:id="96" w:name="_Toc158992043"/>
      <w:r w:rsidRPr="00C07BE5">
        <w:rPr>
          <w:rFonts w:ascii="Times New Roman" w:hAnsi="Times New Roman" w:cs="Times New Roman"/>
        </w:rPr>
        <w:t>Financijski p</w:t>
      </w:r>
      <w:r w:rsidR="00423CDD" w:rsidRPr="00C07BE5">
        <w:rPr>
          <w:rFonts w:ascii="Times New Roman" w:hAnsi="Times New Roman" w:cs="Times New Roman"/>
        </w:rPr>
        <w:t>rihodi</w:t>
      </w:r>
      <w:bookmarkEnd w:id="94"/>
      <w:bookmarkEnd w:id="95"/>
      <w:r w:rsidRPr="00C07BE5">
        <w:rPr>
          <w:rFonts w:ascii="Times New Roman" w:hAnsi="Times New Roman" w:cs="Times New Roman"/>
        </w:rPr>
        <w:t xml:space="preserve"> i rashodi</w:t>
      </w:r>
      <w:bookmarkEnd w:id="96"/>
    </w:p>
    <w:p w14:paraId="733C2370" w14:textId="1C5FC9D2" w:rsidR="00423CDD" w:rsidRPr="00C07BE5" w:rsidRDefault="00423CDD" w:rsidP="000A1D95">
      <w:pPr>
        <w:spacing w:after="0"/>
        <w:rPr>
          <w:rFonts w:cs="Times New Roman"/>
          <w:szCs w:val="24"/>
        </w:rPr>
      </w:pPr>
      <w:r w:rsidRPr="00C07BE5">
        <w:rPr>
          <w:rFonts w:cs="Times New Roman"/>
          <w:szCs w:val="24"/>
        </w:rPr>
        <w:t>Na temelju priljeva sredstava od HEP-a te financijskih aktivnosti unutar Sektora za upravljanje financijskom imovinom</w:t>
      </w:r>
      <w:r w:rsidR="00FF2D9C">
        <w:rPr>
          <w:rFonts w:cs="Times New Roman"/>
          <w:szCs w:val="24"/>
        </w:rPr>
        <w:t xml:space="preserve"> i za poslovnu podršku</w:t>
      </w:r>
      <w:r w:rsidRPr="00C07BE5">
        <w:rPr>
          <w:rFonts w:cs="Times New Roman"/>
          <w:szCs w:val="24"/>
        </w:rPr>
        <w:t xml:space="preserve"> tijekom 202</w:t>
      </w:r>
      <w:r w:rsidR="007F647B" w:rsidRPr="00C07BE5">
        <w:rPr>
          <w:rFonts w:cs="Times New Roman"/>
          <w:szCs w:val="24"/>
        </w:rPr>
        <w:t>3</w:t>
      </w:r>
      <w:r w:rsidRPr="00C07BE5">
        <w:rPr>
          <w:rFonts w:cs="Times New Roman"/>
          <w:szCs w:val="24"/>
        </w:rPr>
        <w:t>. godine, ostvareni su</w:t>
      </w:r>
      <w:r w:rsidR="00C37D56" w:rsidRPr="00C07BE5">
        <w:rPr>
          <w:rFonts w:cs="Times New Roman"/>
          <w:szCs w:val="24"/>
        </w:rPr>
        <w:t xml:space="preserve"> financijski</w:t>
      </w:r>
      <w:r w:rsidRPr="00C07BE5">
        <w:rPr>
          <w:rFonts w:cs="Times New Roman"/>
          <w:szCs w:val="24"/>
        </w:rPr>
        <w:t xml:space="preserve"> prihodi </w:t>
      </w:r>
      <w:r w:rsidR="00C37D56" w:rsidRPr="00C07BE5">
        <w:rPr>
          <w:rFonts w:cs="Times New Roman"/>
          <w:szCs w:val="24"/>
        </w:rPr>
        <w:t xml:space="preserve">i rashodi </w:t>
      </w:r>
      <w:r w:rsidRPr="00C07BE5">
        <w:rPr>
          <w:rFonts w:cs="Times New Roman"/>
          <w:szCs w:val="24"/>
        </w:rPr>
        <w:t>Fonda sukladno sljedećoj tablici:</w:t>
      </w:r>
      <w:r w:rsidR="002F705B">
        <w:rPr>
          <w:rFonts w:cs="Times New Roman"/>
          <w:szCs w:val="24"/>
        </w:rPr>
        <w:t xml:space="preserve"> </w:t>
      </w:r>
    </w:p>
    <w:p w14:paraId="75546839" w14:textId="77777777" w:rsidR="0028051C" w:rsidRPr="00C07BE5" w:rsidRDefault="0028051C" w:rsidP="000A1D95">
      <w:pPr>
        <w:spacing w:after="0"/>
        <w:rPr>
          <w:rFonts w:ascii="Montserrat" w:hAnsi="Montserrat"/>
        </w:rPr>
      </w:pPr>
    </w:p>
    <w:p w14:paraId="67BD08EA" w14:textId="22340300" w:rsidR="005C32D4" w:rsidRPr="00C07BE5" w:rsidRDefault="005C32D4" w:rsidP="0028051C">
      <w:pPr>
        <w:pStyle w:val="Caption"/>
        <w:keepNext/>
        <w:spacing w:after="0"/>
        <w:rPr>
          <w:rFonts w:cs="Times New Roman"/>
          <w:i w:val="0"/>
          <w:iCs w:val="0"/>
          <w:sz w:val="22"/>
          <w:szCs w:val="22"/>
        </w:rPr>
      </w:pPr>
      <w:bookmarkStart w:id="97" w:name="_Toc158991958"/>
      <w:r w:rsidRPr="00C07BE5">
        <w:rPr>
          <w:rFonts w:cs="Times New Roman"/>
          <w:i w:val="0"/>
          <w:iCs w:val="0"/>
          <w:sz w:val="22"/>
          <w:szCs w:val="22"/>
        </w:rPr>
        <w:t xml:space="preserve">Tablica </w:t>
      </w:r>
      <w:r w:rsidR="003E5AA5" w:rsidRPr="00C07BE5">
        <w:rPr>
          <w:rFonts w:cs="Times New Roman"/>
          <w:i w:val="0"/>
          <w:iCs w:val="0"/>
          <w:sz w:val="22"/>
          <w:szCs w:val="22"/>
        </w:rPr>
        <w:fldChar w:fldCharType="begin"/>
      </w:r>
      <w:r w:rsidR="003E5AA5" w:rsidRPr="00C07BE5">
        <w:rPr>
          <w:rFonts w:cs="Times New Roman"/>
          <w:i w:val="0"/>
          <w:iCs w:val="0"/>
          <w:sz w:val="22"/>
          <w:szCs w:val="22"/>
        </w:rPr>
        <w:instrText xml:space="preserve"> SEQ Tablica \* ARABIC </w:instrText>
      </w:r>
      <w:r w:rsidR="003E5AA5" w:rsidRPr="00C07BE5">
        <w:rPr>
          <w:rFonts w:cs="Times New Roman"/>
          <w:i w:val="0"/>
          <w:iCs w:val="0"/>
          <w:sz w:val="22"/>
          <w:szCs w:val="22"/>
        </w:rPr>
        <w:fldChar w:fldCharType="separate"/>
      </w:r>
      <w:r w:rsidR="007C3D90" w:rsidRPr="00C07BE5">
        <w:rPr>
          <w:rFonts w:cs="Times New Roman"/>
          <w:i w:val="0"/>
          <w:iCs w:val="0"/>
          <w:noProof/>
          <w:sz w:val="22"/>
          <w:szCs w:val="22"/>
        </w:rPr>
        <w:t>1</w:t>
      </w:r>
      <w:r w:rsidR="003E5AA5" w:rsidRPr="00C07BE5">
        <w:rPr>
          <w:rFonts w:cs="Times New Roman"/>
          <w:i w:val="0"/>
          <w:iCs w:val="0"/>
          <w:sz w:val="22"/>
          <w:szCs w:val="22"/>
        </w:rPr>
        <w:fldChar w:fldCharType="end"/>
      </w:r>
      <w:r w:rsidRPr="00C07BE5">
        <w:rPr>
          <w:rFonts w:cs="Times New Roman"/>
          <w:i w:val="0"/>
          <w:iCs w:val="0"/>
          <w:sz w:val="22"/>
          <w:szCs w:val="22"/>
        </w:rPr>
        <w:t xml:space="preserve"> –</w:t>
      </w:r>
      <w:r w:rsidR="006F0831" w:rsidRPr="00C07BE5">
        <w:rPr>
          <w:rFonts w:cs="Times New Roman"/>
          <w:i w:val="0"/>
          <w:iCs w:val="0"/>
          <w:sz w:val="22"/>
          <w:szCs w:val="22"/>
        </w:rPr>
        <w:t xml:space="preserve"> </w:t>
      </w:r>
      <w:r w:rsidR="00C37D56" w:rsidRPr="00C07BE5">
        <w:rPr>
          <w:rFonts w:cs="Times New Roman"/>
          <w:i w:val="0"/>
          <w:iCs w:val="0"/>
          <w:sz w:val="22"/>
          <w:szCs w:val="22"/>
        </w:rPr>
        <w:t xml:space="preserve">Financijski </w:t>
      </w:r>
      <w:r w:rsidR="003D6FCF">
        <w:rPr>
          <w:rFonts w:cs="Times New Roman"/>
          <w:i w:val="0"/>
          <w:iCs w:val="0"/>
          <w:sz w:val="22"/>
          <w:szCs w:val="22"/>
        </w:rPr>
        <w:t>rezultat</w:t>
      </w:r>
      <w:bookmarkEnd w:id="97"/>
    </w:p>
    <w:p w14:paraId="65286EF4" w14:textId="77C4C3D1" w:rsidR="00423CDD" w:rsidRPr="00C07BE5" w:rsidRDefault="003D6FCF" w:rsidP="00423CDD">
      <w:pPr>
        <w:rPr>
          <w:rFonts w:ascii="Montserrat" w:hAnsi="Montserrat"/>
        </w:rPr>
      </w:pPr>
      <w:r w:rsidRPr="003D6FCF">
        <w:rPr>
          <w:noProof/>
        </w:rPr>
        <w:drawing>
          <wp:inline distT="0" distB="0" distL="0" distR="0" wp14:anchorId="13BE8B4C" wp14:editId="4D22B9E0">
            <wp:extent cx="6106795" cy="4008120"/>
            <wp:effectExtent l="0" t="0" r="8255" b="0"/>
            <wp:docPr id="1165653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6795" cy="4008120"/>
                    </a:xfrm>
                    <a:prstGeom prst="rect">
                      <a:avLst/>
                    </a:prstGeom>
                    <a:noFill/>
                    <a:ln>
                      <a:noFill/>
                    </a:ln>
                  </pic:spPr>
                </pic:pic>
              </a:graphicData>
            </a:graphic>
          </wp:inline>
        </w:drawing>
      </w:r>
    </w:p>
    <w:p w14:paraId="1B9F5548" w14:textId="77777777" w:rsidR="00670AFF" w:rsidRPr="00C07BE5" w:rsidRDefault="00670AFF" w:rsidP="00670AFF">
      <w:pPr>
        <w:rPr>
          <w:rFonts w:cs="Times New Roman"/>
          <w:szCs w:val="24"/>
        </w:rPr>
      </w:pPr>
      <w:r w:rsidRPr="00C07BE5">
        <w:rPr>
          <w:rFonts w:cs="Times New Roman"/>
          <w:szCs w:val="24"/>
        </w:rPr>
        <w:t>Gledano po pojedinačnim stavkama, najveći doprinos prihodima od kapitalnih dobitaka je stigao od sljedećih pozicija:</w:t>
      </w:r>
    </w:p>
    <w:p w14:paraId="560E94C9" w14:textId="77777777" w:rsidR="00294016" w:rsidRPr="00C07BE5" w:rsidRDefault="00294016" w:rsidP="00294016">
      <w:pPr>
        <w:pStyle w:val="ListParagraph"/>
        <w:numPr>
          <w:ilvl w:val="0"/>
          <w:numId w:val="9"/>
        </w:numPr>
        <w:spacing w:after="0"/>
        <w:ind w:left="1213" w:right="0"/>
        <w:rPr>
          <w:rFonts w:cs="Times New Roman"/>
          <w:szCs w:val="24"/>
        </w:rPr>
      </w:pPr>
      <w:r w:rsidRPr="00C07BE5">
        <w:rPr>
          <w:rFonts w:cs="Times New Roman"/>
          <w:szCs w:val="24"/>
        </w:rPr>
        <w:t>dionice – HPB d.d. +4,3 mil. eura, Podravka d.d. +1,9 mil. eura, Končar d.d. +1,2 mil. eura, Nova Ljubljanska banka d.d. +0,9 mil. eura, Zagrebačka banka d.d. +0,9 mil. eura;</w:t>
      </w:r>
    </w:p>
    <w:p w14:paraId="086EBE23" w14:textId="77777777" w:rsidR="00294016" w:rsidRPr="00C07BE5" w:rsidRDefault="00294016" w:rsidP="00294016">
      <w:pPr>
        <w:pStyle w:val="ListParagraph"/>
        <w:numPr>
          <w:ilvl w:val="0"/>
          <w:numId w:val="9"/>
        </w:numPr>
        <w:spacing w:after="0"/>
        <w:ind w:left="1213" w:right="0"/>
        <w:rPr>
          <w:rFonts w:cs="Times New Roman"/>
          <w:szCs w:val="24"/>
        </w:rPr>
      </w:pPr>
      <w:r w:rsidRPr="00C07BE5">
        <w:rPr>
          <w:rFonts w:cs="Times New Roman"/>
          <w:szCs w:val="24"/>
        </w:rPr>
        <w:t>investicijski fondovi – Three Seas Fund +1,5 mil. eura, Intercapital SEE Equity +0,8 mil. eura, ASEF +0,6 mil. eura, INVESCO EURO STOXX 50 +0,4 mil. eura;</w:t>
      </w:r>
    </w:p>
    <w:p w14:paraId="1B80F366" w14:textId="77777777" w:rsidR="00294016" w:rsidRDefault="00294016" w:rsidP="00294016">
      <w:pPr>
        <w:pStyle w:val="ListParagraph"/>
        <w:numPr>
          <w:ilvl w:val="0"/>
          <w:numId w:val="9"/>
        </w:numPr>
        <w:spacing w:after="0"/>
        <w:ind w:left="1213" w:right="0"/>
        <w:rPr>
          <w:rFonts w:cs="Times New Roman"/>
          <w:szCs w:val="24"/>
        </w:rPr>
      </w:pPr>
      <w:r w:rsidRPr="00C07BE5">
        <w:rPr>
          <w:rFonts w:cs="Times New Roman"/>
          <w:szCs w:val="24"/>
        </w:rPr>
        <w:t>obveznice – H247E +1,4 mil. eura, CROATI 3 03/11/25 +0,9 mil. eura, CROATI 3 03/20/27 +0,9 mil. eura, H403E +0,9 mil. eura;</w:t>
      </w:r>
    </w:p>
    <w:p w14:paraId="54BF3DEA" w14:textId="31D1449C" w:rsidR="003D6FCF" w:rsidRDefault="003D6FCF" w:rsidP="003D6FCF">
      <w:pPr>
        <w:spacing w:after="0"/>
        <w:rPr>
          <w:rFonts w:cs="Times New Roman"/>
          <w:szCs w:val="24"/>
        </w:rPr>
      </w:pPr>
      <w:r>
        <w:rPr>
          <w:rFonts w:cs="Times New Roman"/>
          <w:szCs w:val="24"/>
        </w:rPr>
        <w:t>Prihodi od kamata iznose 8</w:t>
      </w:r>
      <w:r w:rsidR="000C09AC">
        <w:rPr>
          <w:rFonts w:cs="Times New Roman"/>
          <w:szCs w:val="24"/>
        </w:rPr>
        <w:t>,0</w:t>
      </w:r>
      <w:r>
        <w:rPr>
          <w:rFonts w:cs="Times New Roman"/>
          <w:szCs w:val="24"/>
        </w:rPr>
        <w:t xml:space="preserve"> mil. eura i odnose se na prihode od kamata po obveznicama (7,2 mil. eura) </w:t>
      </w:r>
      <w:r w:rsidR="000C09AC">
        <w:rPr>
          <w:rFonts w:cs="Times New Roman"/>
          <w:szCs w:val="24"/>
        </w:rPr>
        <w:t>te na</w:t>
      </w:r>
      <w:r>
        <w:rPr>
          <w:rFonts w:cs="Times New Roman"/>
          <w:szCs w:val="24"/>
        </w:rPr>
        <w:t xml:space="preserve"> prihode od kamata po depozitima i novčanim računima (0,8 mil eura).</w:t>
      </w:r>
    </w:p>
    <w:p w14:paraId="73464F79" w14:textId="4CA02838" w:rsidR="003D6FCF" w:rsidRPr="003D6FCF" w:rsidRDefault="003D6FCF" w:rsidP="003D6FCF">
      <w:pPr>
        <w:spacing w:after="0"/>
        <w:rPr>
          <w:rFonts w:cs="Times New Roman"/>
          <w:szCs w:val="24"/>
        </w:rPr>
      </w:pPr>
      <w:r>
        <w:rPr>
          <w:rFonts w:cs="Times New Roman"/>
          <w:szCs w:val="24"/>
        </w:rPr>
        <w:t>Ostali financijski prihodi iznose 1,7 mil. eura i u najvećoj mjeri se odnose na primljene dividende.</w:t>
      </w:r>
    </w:p>
    <w:p w14:paraId="4D06AD89" w14:textId="77777777" w:rsidR="00C37D56" w:rsidRPr="00C07BE5" w:rsidRDefault="00C37D56" w:rsidP="00C37D56">
      <w:pPr>
        <w:spacing w:after="0"/>
        <w:rPr>
          <w:rFonts w:cs="Times New Roman"/>
          <w:szCs w:val="24"/>
        </w:rPr>
      </w:pPr>
    </w:p>
    <w:p w14:paraId="318D9C4A" w14:textId="6E338E06" w:rsidR="00C37D56" w:rsidRPr="00C07BE5" w:rsidRDefault="00C37D56" w:rsidP="00C37D56">
      <w:pPr>
        <w:rPr>
          <w:rFonts w:cs="Times New Roman"/>
          <w:szCs w:val="24"/>
        </w:rPr>
      </w:pPr>
      <w:r w:rsidRPr="00C07BE5">
        <w:rPr>
          <w:rFonts w:cs="Times New Roman"/>
          <w:szCs w:val="24"/>
        </w:rPr>
        <w:t>Financijski rashodi iznose 4,1 mil. eura (90% realizacije cjelokupnog plana za 2023. godinu), od čega izdvajamo gubitke od ulaganja u inverzne fondove SQQQ (-1,</w:t>
      </w:r>
      <w:r w:rsidR="00294016" w:rsidRPr="00C07BE5">
        <w:rPr>
          <w:rFonts w:cs="Times New Roman"/>
          <w:szCs w:val="24"/>
        </w:rPr>
        <w:t>8</w:t>
      </w:r>
      <w:r w:rsidRPr="00C07BE5">
        <w:rPr>
          <w:rFonts w:cs="Times New Roman"/>
          <w:szCs w:val="24"/>
        </w:rPr>
        <w:t xml:space="preserve"> mil. eura) i BXX (-0,</w:t>
      </w:r>
      <w:r w:rsidR="00294016" w:rsidRPr="00C07BE5">
        <w:rPr>
          <w:rFonts w:cs="Times New Roman"/>
          <w:szCs w:val="24"/>
        </w:rPr>
        <w:t>4</w:t>
      </w:r>
      <w:r w:rsidRPr="00C07BE5">
        <w:rPr>
          <w:rFonts w:cs="Times New Roman"/>
          <w:szCs w:val="24"/>
        </w:rPr>
        <w:t xml:space="preserve"> mil. eura).</w:t>
      </w:r>
    </w:p>
    <w:p w14:paraId="6EBC2691" w14:textId="143C4942" w:rsidR="00C37D56" w:rsidRPr="00FF2D9C" w:rsidRDefault="00C37D56" w:rsidP="00C37D56">
      <w:pPr>
        <w:rPr>
          <w:rFonts w:cs="Times New Roman"/>
          <w:szCs w:val="24"/>
        </w:rPr>
      </w:pPr>
      <w:r w:rsidRPr="00FF2D9C">
        <w:rPr>
          <w:rFonts w:cs="Times New Roman"/>
          <w:szCs w:val="24"/>
        </w:rPr>
        <w:t>Važno je napomenuti da se radi o nerealiziranim gubicima od ulaganja u vrijednosne papire, odnosno o gubicima koji nisu nastali kao posljedica prodajnih transakcija već kao posljedica korekcije tržišnih cijena.</w:t>
      </w:r>
    </w:p>
    <w:p w14:paraId="3B081F9E" w14:textId="77777777" w:rsidR="00C37D56" w:rsidRPr="00C07BE5" w:rsidRDefault="00C37D56" w:rsidP="00C37D56">
      <w:pPr>
        <w:spacing w:after="0"/>
        <w:rPr>
          <w:rFonts w:cs="Times New Roman"/>
          <w:szCs w:val="24"/>
        </w:rPr>
      </w:pPr>
    </w:p>
    <w:p w14:paraId="2F179199" w14:textId="561F28CA" w:rsidR="00423CDD" w:rsidRPr="00C07BE5" w:rsidRDefault="00423CDD" w:rsidP="0084520A">
      <w:pPr>
        <w:pStyle w:val="Heading2"/>
        <w:spacing w:before="0" w:after="120" w:line="276" w:lineRule="auto"/>
        <w:rPr>
          <w:rFonts w:ascii="Times New Roman" w:hAnsi="Times New Roman" w:cs="Times New Roman"/>
        </w:rPr>
      </w:pPr>
      <w:bookmarkStart w:id="98" w:name="_Toc80697107"/>
      <w:bookmarkStart w:id="99" w:name="_Toc127350267"/>
      <w:bookmarkStart w:id="100" w:name="_Toc158992044"/>
      <w:r w:rsidRPr="00C07BE5">
        <w:rPr>
          <w:rFonts w:ascii="Times New Roman" w:hAnsi="Times New Roman" w:cs="Times New Roman"/>
        </w:rPr>
        <w:t>R</w:t>
      </w:r>
      <w:r w:rsidR="00C37D56" w:rsidRPr="00C07BE5">
        <w:rPr>
          <w:rFonts w:ascii="Times New Roman" w:hAnsi="Times New Roman" w:cs="Times New Roman"/>
        </w:rPr>
        <w:t>AO i ostali r</w:t>
      </w:r>
      <w:r w:rsidRPr="00C07BE5">
        <w:rPr>
          <w:rFonts w:ascii="Times New Roman" w:hAnsi="Times New Roman" w:cs="Times New Roman"/>
        </w:rPr>
        <w:t>ashodi</w:t>
      </w:r>
      <w:bookmarkEnd w:id="98"/>
      <w:bookmarkEnd w:id="99"/>
      <w:bookmarkEnd w:id="100"/>
    </w:p>
    <w:p w14:paraId="40DE9584" w14:textId="07E26F56" w:rsidR="005759E3" w:rsidRPr="00C07BE5" w:rsidRDefault="005759E3" w:rsidP="005759E3">
      <w:pPr>
        <w:rPr>
          <w:rFonts w:cs="Times New Roman"/>
          <w:szCs w:val="24"/>
        </w:rPr>
      </w:pPr>
      <w:r w:rsidRPr="00C07BE5">
        <w:rPr>
          <w:rFonts w:cs="Times New Roman"/>
          <w:szCs w:val="24"/>
        </w:rPr>
        <w:t xml:space="preserve">U sljedećoj tablici se daje pregled </w:t>
      </w:r>
      <w:r w:rsidR="00C37D56" w:rsidRPr="00C07BE5">
        <w:rPr>
          <w:rFonts w:cs="Times New Roman"/>
          <w:szCs w:val="24"/>
        </w:rPr>
        <w:t xml:space="preserve">RAO i ostalih </w:t>
      </w:r>
      <w:r w:rsidRPr="00C07BE5">
        <w:rPr>
          <w:rFonts w:cs="Times New Roman"/>
          <w:szCs w:val="24"/>
        </w:rPr>
        <w:t>rashoda:</w:t>
      </w:r>
    </w:p>
    <w:p w14:paraId="15EF2A4F" w14:textId="0971FE7B" w:rsidR="003E5AA5" w:rsidRPr="00C07BE5" w:rsidRDefault="003E5AA5" w:rsidP="00940133">
      <w:pPr>
        <w:pStyle w:val="Caption"/>
        <w:keepNext/>
        <w:spacing w:after="0"/>
        <w:rPr>
          <w:rFonts w:cs="Times New Roman"/>
          <w:i w:val="0"/>
          <w:iCs w:val="0"/>
          <w:sz w:val="22"/>
          <w:szCs w:val="22"/>
        </w:rPr>
      </w:pPr>
      <w:bookmarkStart w:id="101" w:name="_Toc158991959"/>
      <w:r w:rsidRPr="00C07BE5">
        <w:rPr>
          <w:rFonts w:cs="Times New Roman"/>
          <w:i w:val="0"/>
          <w:iCs w:val="0"/>
          <w:sz w:val="22"/>
          <w:szCs w:val="22"/>
        </w:rPr>
        <w:t xml:space="preserve">Tablica </w:t>
      </w:r>
      <w:r w:rsidRPr="00C07BE5">
        <w:rPr>
          <w:rFonts w:cs="Times New Roman"/>
          <w:i w:val="0"/>
          <w:iCs w:val="0"/>
          <w:sz w:val="22"/>
          <w:szCs w:val="22"/>
        </w:rPr>
        <w:fldChar w:fldCharType="begin"/>
      </w:r>
      <w:r w:rsidRPr="00C07BE5">
        <w:rPr>
          <w:rFonts w:cs="Times New Roman"/>
          <w:i w:val="0"/>
          <w:iCs w:val="0"/>
          <w:sz w:val="22"/>
          <w:szCs w:val="22"/>
        </w:rPr>
        <w:instrText xml:space="preserve"> SEQ Tablica \* ARABIC </w:instrText>
      </w:r>
      <w:r w:rsidRPr="00C07BE5">
        <w:rPr>
          <w:rFonts w:cs="Times New Roman"/>
          <w:i w:val="0"/>
          <w:iCs w:val="0"/>
          <w:sz w:val="22"/>
          <w:szCs w:val="22"/>
        </w:rPr>
        <w:fldChar w:fldCharType="separate"/>
      </w:r>
      <w:r w:rsidR="007C3D90" w:rsidRPr="00C07BE5">
        <w:rPr>
          <w:rFonts w:cs="Times New Roman"/>
          <w:i w:val="0"/>
          <w:iCs w:val="0"/>
          <w:noProof/>
          <w:sz w:val="22"/>
          <w:szCs w:val="22"/>
        </w:rPr>
        <w:t>2</w:t>
      </w:r>
      <w:r w:rsidRPr="00C07BE5">
        <w:rPr>
          <w:rFonts w:cs="Times New Roman"/>
          <w:i w:val="0"/>
          <w:iCs w:val="0"/>
          <w:sz w:val="22"/>
          <w:szCs w:val="22"/>
        </w:rPr>
        <w:fldChar w:fldCharType="end"/>
      </w:r>
      <w:r w:rsidRPr="00C07BE5">
        <w:rPr>
          <w:rFonts w:cs="Times New Roman"/>
          <w:i w:val="0"/>
          <w:iCs w:val="0"/>
          <w:sz w:val="22"/>
          <w:szCs w:val="22"/>
        </w:rPr>
        <w:t xml:space="preserve"> –</w:t>
      </w:r>
      <w:r w:rsidR="006F0831" w:rsidRPr="00C07BE5">
        <w:rPr>
          <w:rFonts w:cs="Times New Roman"/>
          <w:i w:val="0"/>
          <w:iCs w:val="0"/>
          <w:sz w:val="22"/>
          <w:szCs w:val="22"/>
        </w:rPr>
        <w:t xml:space="preserve"> R</w:t>
      </w:r>
      <w:r w:rsidR="00C37D56" w:rsidRPr="00C07BE5">
        <w:rPr>
          <w:rFonts w:cs="Times New Roman"/>
          <w:i w:val="0"/>
          <w:iCs w:val="0"/>
          <w:sz w:val="22"/>
          <w:szCs w:val="22"/>
        </w:rPr>
        <w:t>AO i ostali r</w:t>
      </w:r>
      <w:r w:rsidRPr="00C07BE5">
        <w:rPr>
          <w:rFonts w:cs="Times New Roman"/>
          <w:i w:val="0"/>
          <w:iCs w:val="0"/>
          <w:sz w:val="22"/>
          <w:szCs w:val="22"/>
        </w:rPr>
        <w:t>ashodi</w:t>
      </w:r>
      <w:bookmarkEnd w:id="101"/>
    </w:p>
    <w:p w14:paraId="6D56CCA2" w14:textId="321EE217" w:rsidR="005759E3" w:rsidRPr="00C07BE5" w:rsidRDefault="00C37D56" w:rsidP="00940133">
      <w:pPr>
        <w:spacing w:after="0"/>
        <w:rPr>
          <w:rFonts w:ascii="Montserrat" w:hAnsi="Montserrat"/>
        </w:rPr>
      </w:pPr>
      <w:r w:rsidRPr="00C07BE5">
        <w:rPr>
          <w:noProof/>
        </w:rPr>
        <w:drawing>
          <wp:inline distT="0" distB="0" distL="0" distR="0" wp14:anchorId="1685AD47" wp14:editId="5A71B8D0">
            <wp:extent cx="6106795" cy="5448300"/>
            <wp:effectExtent l="0" t="0" r="8255" b="0"/>
            <wp:docPr id="1336789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6795" cy="5448300"/>
                    </a:xfrm>
                    <a:prstGeom prst="rect">
                      <a:avLst/>
                    </a:prstGeom>
                    <a:noFill/>
                    <a:ln>
                      <a:noFill/>
                    </a:ln>
                  </pic:spPr>
                </pic:pic>
              </a:graphicData>
            </a:graphic>
          </wp:inline>
        </w:drawing>
      </w:r>
    </w:p>
    <w:p w14:paraId="728C2AB7" w14:textId="77777777" w:rsidR="00005C58" w:rsidRPr="00C07BE5" w:rsidRDefault="00005C58" w:rsidP="00005C58">
      <w:pPr>
        <w:spacing w:after="0"/>
        <w:rPr>
          <w:rFonts w:ascii="Montserrat" w:hAnsi="Montserrat"/>
        </w:rPr>
      </w:pPr>
    </w:p>
    <w:p w14:paraId="0028AA3F" w14:textId="77777777" w:rsidR="00FF2D9C" w:rsidRDefault="00FF2D9C" w:rsidP="0084520A">
      <w:pPr>
        <w:rPr>
          <w:rFonts w:cs="Times New Roman"/>
          <w:szCs w:val="24"/>
        </w:rPr>
      </w:pPr>
    </w:p>
    <w:p w14:paraId="36396596" w14:textId="3317EDA2" w:rsidR="00423CDD" w:rsidRPr="00C07BE5" w:rsidRDefault="00423CDD" w:rsidP="0084520A">
      <w:pPr>
        <w:rPr>
          <w:rFonts w:cs="Times New Roman"/>
          <w:szCs w:val="24"/>
        </w:rPr>
      </w:pPr>
      <w:r w:rsidRPr="00C07BE5">
        <w:rPr>
          <w:rFonts w:cs="Times New Roman"/>
          <w:szCs w:val="24"/>
        </w:rPr>
        <w:lastRenderedPageBreak/>
        <w:t xml:space="preserve">Ukupni </w:t>
      </w:r>
      <w:r w:rsidR="00C37D56" w:rsidRPr="00C07BE5">
        <w:rPr>
          <w:rFonts w:cs="Times New Roman"/>
          <w:szCs w:val="24"/>
        </w:rPr>
        <w:t>RAO i ostali r</w:t>
      </w:r>
      <w:r w:rsidRPr="00C07BE5">
        <w:rPr>
          <w:rFonts w:cs="Times New Roman"/>
          <w:szCs w:val="24"/>
        </w:rPr>
        <w:t>ashodi tijekom 202</w:t>
      </w:r>
      <w:r w:rsidR="00C37D56" w:rsidRPr="00C07BE5">
        <w:rPr>
          <w:rFonts w:cs="Times New Roman"/>
          <w:szCs w:val="24"/>
        </w:rPr>
        <w:t>3</w:t>
      </w:r>
      <w:r w:rsidRPr="00C07BE5">
        <w:rPr>
          <w:rFonts w:cs="Times New Roman"/>
          <w:szCs w:val="24"/>
        </w:rPr>
        <w:t xml:space="preserve">. godine iznosili su </w:t>
      </w:r>
      <w:r w:rsidR="00C37D56" w:rsidRPr="00C07BE5">
        <w:rPr>
          <w:rFonts w:cs="Times New Roman"/>
          <w:szCs w:val="24"/>
        </w:rPr>
        <w:t>2,8</w:t>
      </w:r>
      <w:r w:rsidRPr="00C07BE5">
        <w:rPr>
          <w:rFonts w:cs="Times New Roman"/>
          <w:szCs w:val="24"/>
        </w:rPr>
        <w:t xml:space="preserve"> mil. </w:t>
      </w:r>
      <w:r w:rsidR="00C37D56" w:rsidRPr="00C07BE5">
        <w:rPr>
          <w:rFonts w:cs="Times New Roman"/>
          <w:szCs w:val="24"/>
        </w:rPr>
        <w:t>EUR</w:t>
      </w:r>
      <w:r w:rsidRPr="00C07BE5">
        <w:rPr>
          <w:rFonts w:cs="Times New Roman"/>
          <w:szCs w:val="24"/>
        </w:rPr>
        <w:t xml:space="preserve">, a najznačajnije stavke su sljedeće: </w:t>
      </w:r>
    </w:p>
    <w:p w14:paraId="52FAFE83" w14:textId="7916D511" w:rsidR="00423CDD" w:rsidRPr="00C07BE5" w:rsidRDefault="00423CDD" w:rsidP="0084520A">
      <w:pPr>
        <w:pStyle w:val="ListParagraph"/>
        <w:numPr>
          <w:ilvl w:val="0"/>
          <w:numId w:val="9"/>
        </w:numPr>
        <w:spacing w:after="120"/>
        <w:ind w:left="1213" w:right="0"/>
        <w:rPr>
          <w:rFonts w:cs="Times New Roman"/>
          <w:szCs w:val="24"/>
        </w:rPr>
      </w:pPr>
      <w:r w:rsidRPr="00C07BE5">
        <w:rPr>
          <w:rFonts w:cs="Times New Roman"/>
          <w:szCs w:val="24"/>
        </w:rPr>
        <w:t xml:space="preserve">troškovi plaća i naknada radnicima </w:t>
      </w:r>
      <w:r w:rsidR="008E3BAB" w:rsidRPr="00C07BE5">
        <w:rPr>
          <w:rFonts w:cs="Times New Roman"/>
          <w:szCs w:val="24"/>
        </w:rPr>
        <w:t>–</w:t>
      </w:r>
      <w:r w:rsidRPr="00C07BE5">
        <w:rPr>
          <w:rFonts w:cs="Times New Roman"/>
          <w:szCs w:val="24"/>
        </w:rPr>
        <w:t xml:space="preserve"> </w:t>
      </w:r>
      <w:r w:rsidR="00881B74" w:rsidRPr="00C07BE5">
        <w:rPr>
          <w:rFonts w:cs="Times New Roman"/>
          <w:szCs w:val="24"/>
        </w:rPr>
        <w:t>1</w:t>
      </w:r>
      <w:r w:rsidR="008E3BAB" w:rsidRPr="00C07BE5">
        <w:rPr>
          <w:rFonts w:cs="Times New Roman"/>
          <w:szCs w:val="24"/>
        </w:rPr>
        <w:t>,</w:t>
      </w:r>
      <w:r w:rsidR="00881B74" w:rsidRPr="00C07BE5">
        <w:rPr>
          <w:rFonts w:cs="Times New Roman"/>
          <w:szCs w:val="24"/>
        </w:rPr>
        <w:t>1</w:t>
      </w:r>
      <w:r w:rsidRPr="00C07BE5">
        <w:rPr>
          <w:rFonts w:cs="Times New Roman"/>
          <w:szCs w:val="24"/>
        </w:rPr>
        <w:t xml:space="preserve"> mil. </w:t>
      </w:r>
      <w:r w:rsidR="00881B74" w:rsidRPr="00C07BE5">
        <w:rPr>
          <w:rFonts w:cs="Times New Roman"/>
          <w:szCs w:val="24"/>
        </w:rPr>
        <w:t>EUR</w:t>
      </w:r>
      <w:r w:rsidRPr="00C07BE5">
        <w:rPr>
          <w:rFonts w:cs="Times New Roman"/>
          <w:szCs w:val="24"/>
        </w:rPr>
        <w:t xml:space="preserve">, što predstavlja </w:t>
      </w:r>
      <w:r w:rsidR="004F072D" w:rsidRPr="00C07BE5">
        <w:rPr>
          <w:rFonts w:cs="Times New Roman"/>
          <w:szCs w:val="24"/>
        </w:rPr>
        <w:t>9</w:t>
      </w:r>
      <w:r w:rsidR="00881B74" w:rsidRPr="00C07BE5">
        <w:rPr>
          <w:rFonts w:cs="Times New Roman"/>
          <w:szCs w:val="24"/>
        </w:rPr>
        <w:t>6</w:t>
      </w:r>
      <w:r w:rsidRPr="00C07BE5">
        <w:rPr>
          <w:rFonts w:cs="Times New Roman"/>
          <w:szCs w:val="24"/>
        </w:rPr>
        <w:t>% realizacije plana,</w:t>
      </w:r>
      <w:r w:rsidR="00DF7521" w:rsidRPr="00C07BE5">
        <w:rPr>
          <w:rFonts w:cs="Times New Roman"/>
          <w:szCs w:val="24"/>
        </w:rPr>
        <w:t xml:space="preserve"> </w:t>
      </w:r>
    </w:p>
    <w:p w14:paraId="61F16571" w14:textId="4FDA05F5" w:rsidR="0097030F" w:rsidRPr="00C07BE5" w:rsidRDefault="0097030F" w:rsidP="0097030F">
      <w:pPr>
        <w:pStyle w:val="ListParagraph"/>
        <w:numPr>
          <w:ilvl w:val="0"/>
          <w:numId w:val="9"/>
        </w:numPr>
        <w:spacing w:after="120"/>
        <w:ind w:left="1213" w:right="0"/>
        <w:rPr>
          <w:rFonts w:cs="Times New Roman"/>
          <w:szCs w:val="24"/>
        </w:rPr>
      </w:pPr>
      <w:r w:rsidRPr="00C07BE5">
        <w:rPr>
          <w:rFonts w:cs="Times New Roman"/>
          <w:szCs w:val="24"/>
        </w:rPr>
        <w:t xml:space="preserve">rashodi za </w:t>
      </w:r>
      <w:r w:rsidR="00881B74" w:rsidRPr="00C07BE5">
        <w:rPr>
          <w:rFonts w:cs="Times New Roman"/>
          <w:szCs w:val="24"/>
        </w:rPr>
        <w:t xml:space="preserve">RAO </w:t>
      </w:r>
      <w:r w:rsidRPr="00C07BE5">
        <w:rPr>
          <w:rFonts w:cs="Times New Roman"/>
          <w:szCs w:val="24"/>
        </w:rPr>
        <w:t xml:space="preserve">usluge – </w:t>
      </w:r>
      <w:r w:rsidR="00881B74" w:rsidRPr="00C07BE5">
        <w:rPr>
          <w:rFonts w:cs="Times New Roman"/>
          <w:szCs w:val="24"/>
        </w:rPr>
        <w:t>0,</w:t>
      </w:r>
      <w:r w:rsidRPr="00C07BE5">
        <w:rPr>
          <w:rFonts w:cs="Times New Roman"/>
          <w:szCs w:val="24"/>
        </w:rPr>
        <w:t xml:space="preserve">9 mil. </w:t>
      </w:r>
      <w:r w:rsidR="00881B74" w:rsidRPr="00C07BE5">
        <w:rPr>
          <w:rFonts w:cs="Times New Roman"/>
          <w:szCs w:val="24"/>
        </w:rPr>
        <w:t>EUR</w:t>
      </w:r>
      <w:r w:rsidRPr="00C07BE5">
        <w:rPr>
          <w:rFonts w:cs="Times New Roman"/>
          <w:szCs w:val="24"/>
        </w:rPr>
        <w:t xml:space="preserve">, što predstavlja </w:t>
      </w:r>
      <w:r w:rsidR="00881B74" w:rsidRPr="00C07BE5">
        <w:rPr>
          <w:rFonts w:cs="Times New Roman"/>
          <w:szCs w:val="24"/>
        </w:rPr>
        <w:t>76</w:t>
      </w:r>
      <w:r w:rsidRPr="00C07BE5">
        <w:rPr>
          <w:rFonts w:cs="Times New Roman"/>
          <w:szCs w:val="24"/>
        </w:rPr>
        <w:t xml:space="preserve">% realizacije plana. Najveći dio rashoda za </w:t>
      </w:r>
      <w:r w:rsidR="001F3B1A" w:rsidRPr="00C07BE5">
        <w:rPr>
          <w:rFonts w:cs="Times New Roman"/>
          <w:szCs w:val="24"/>
        </w:rPr>
        <w:t xml:space="preserve">RAO </w:t>
      </w:r>
      <w:r w:rsidRPr="00C07BE5">
        <w:rPr>
          <w:rFonts w:cs="Times New Roman"/>
          <w:szCs w:val="24"/>
        </w:rPr>
        <w:t xml:space="preserve">usluge odnosi </w:t>
      </w:r>
      <w:r w:rsidR="00FF2D9C">
        <w:rPr>
          <w:rFonts w:cs="Times New Roman"/>
          <w:szCs w:val="24"/>
        </w:rPr>
        <w:t xml:space="preserve">se </w:t>
      </w:r>
      <w:r w:rsidRPr="00C07BE5">
        <w:rPr>
          <w:rFonts w:cs="Times New Roman"/>
          <w:szCs w:val="24"/>
        </w:rPr>
        <w:t>na:</w:t>
      </w:r>
    </w:p>
    <w:p w14:paraId="54DD0FBE" w14:textId="6A950DDE" w:rsidR="0097030F" w:rsidRPr="00C07BE5" w:rsidRDefault="0097030F" w:rsidP="001F3B1A">
      <w:pPr>
        <w:pStyle w:val="ListParagraph"/>
        <w:numPr>
          <w:ilvl w:val="1"/>
          <w:numId w:val="6"/>
        </w:numPr>
        <w:spacing w:after="0"/>
        <w:ind w:right="0"/>
        <w:contextualSpacing w:val="0"/>
        <w:rPr>
          <w:rFonts w:cs="Times New Roman"/>
          <w:szCs w:val="24"/>
        </w:rPr>
      </w:pPr>
      <w:r w:rsidRPr="00C07BE5">
        <w:rPr>
          <w:rFonts w:cs="Times New Roman"/>
          <w:szCs w:val="24"/>
        </w:rPr>
        <w:t xml:space="preserve">intelektualne usluge – </w:t>
      </w:r>
      <w:r w:rsidR="00E0020C" w:rsidRPr="00C07BE5">
        <w:rPr>
          <w:rFonts w:cs="Times New Roman"/>
          <w:szCs w:val="24"/>
        </w:rPr>
        <w:t>390</w:t>
      </w:r>
      <w:r w:rsidR="00377ED8" w:rsidRPr="00C07BE5">
        <w:rPr>
          <w:rFonts w:cs="Times New Roman"/>
          <w:szCs w:val="24"/>
        </w:rPr>
        <w:t>.000</w:t>
      </w:r>
      <w:r w:rsidR="00F949E5" w:rsidRPr="00C07BE5">
        <w:rPr>
          <w:rFonts w:cs="Times New Roman"/>
          <w:szCs w:val="24"/>
        </w:rPr>
        <w:t xml:space="preserve"> EUR</w:t>
      </w:r>
      <w:r w:rsidRPr="00C07BE5">
        <w:rPr>
          <w:rFonts w:cs="Times New Roman"/>
          <w:szCs w:val="24"/>
        </w:rPr>
        <w:t xml:space="preserve">, što se najvećim dijelom odnosi na analize mogućnosti </w:t>
      </w:r>
      <w:r w:rsidR="00377ED8" w:rsidRPr="00C07BE5">
        <w:rPr>
          <w:rFonts w:cs="Times New Roman"/>
          <w:szCs w:val="24"/>
        </w:rPr>
        <w:t>transporta, karakterizacije, obrade i kondicioniranja D</w:t>
      </w:r>
      <w:r w:rsidR="00F949E5" w:rsidRPr="00C07BE5">
        <w:rPr>
          <w:rFonts w:cs="Times New Roman"/>
          <w:szCs w:val="24"/>
        </w:rPr>
        <w:t>6</w:t>
      </w:r>
      <w:r w:rsidR="00377ED8" w:rsidRPr="00C07BE5">
        <w:rPr>
          <w:rFonts w:cs="Times New Roman"/>
          <w:szCs w:val="24"/>
        </w:rPr>
        <w:t xml:space="preserve"> bačava kao pripremu za natječaj za odvoz D6 bačava, pravne usluge za prekograničnu suradnju prilikom izrade studije utjecaja na okoliš</w:t>
      </w:r>
      <w:r w:rsidRPr="00C07BE5">
        <w:rPr>
          <w:rFonts w:cs="Times New Roman"/>
          <w:szCs w:val="24"/>
        </w:rPr>
        <w:t xml:space="preserve">, potporne studije za 4. reviziju Programa odlaganja RAO i ING iz NEK-a, suradnju za potrebe odnosa s javnošću te </w:t>
      </w:r>
      <w:r w:rsidR="00625B7B">
        <w:rPr>
          <w:rFonts w:cs="Times New Roman"/>
          <w:szCs w:val="24"/>
        </w:rPr>
        <w:t>određeni</w:t>
      </w:r>
      <w:r w:rsidRPr="00C07BE5">
        <w:rPr>
          <w:rFonts w:cs="Times New Roman"/>
          <w:szCs w:val="24"/>
        </w:rPr>
        <w:t xml:space="preserve"> broj manjih studija</w:t>
      </w:r>
      <w:r w:rsidR="001F3B1A" w:rsidRPr="00C07BE5">
        <w:rPr>
          <w:rFonts w:cs="Times New Roman"/>
          <w:szCs w:val="24"/>
        </w:rPr>
        <w:t>,</w:t>
      </w:r>
    </w:p>
    <w:p w14:paraId="60B0ECD1" w14:textId="669D1649" w:rsidR="00820BAE" w:rsidRPr="00C07BE5" w:rsidRDefault="0097030F" w:rsidP="001F3B1A">
      <w:pPr>
        <w:pStyle w:val="ListParagraph"/>
        <w:numPr>
          <w:ilvl w:val="1"/>
          <w:numId w:val="6"/>
        </w:numPr>
        <w:spacing w:after="120"/>
        <w:ind w:right="0"/>
        <w:contextualSpacing w:val="0"/>
        <w:rPr>
          <w:rFonts w:cs="Times New Roman"/>
          <w:szCs w:val="24"/>
        </w:rPr>
      </w:pPr>
      <w:r w:rsidRPr="00C07BE5">
        <w:rPr>
          <w:rFonts w:cs="Times New Roman"/>
          <w:szCs w:val="24"/>
        </w:rPr>
        <w:t xml:space="preserve">ostale usluge – </w:t>
      </w:r>
      <w:r w:rsidR="00377ED8" w:rsidRPr="00C07BE5">
        <w:rPr>
          <w:rFonts w:cs="Times New Roman"/>
          <w:szCs w:val="24"/>
        </w:rPr>
        <w:t xml:space="preserve">303.000 </w:t>
      </w:r>
      <w:r w:rsidR="00F949E5" w:rsidRPr="00C07BE5">
        <w:rPr>
          <w:rFonts w:cs="Times New Roman"/>
          <w:szCs w:val="24"/>
        </w:rPr>
        <w:t xml:space="preserve">EUR, </w:t>
      </w:r>
      <w:r w:rsidRPr="00C07BE5">
        <w:rPr>
          <w:rFonts w:cs="Times New Roman"/>
          <w:szCs w:val="24"/>
        </w:rPr>
        <w:t>što se najvećim dijelom odnosi na usluge zaštite imovine</w:t>
      </w:r>
      <w:r w:rsidR="001F3B1A" w:rsidRPr="00C07BE5">
        <w:rPr>
          <w:rFonts w:cs="Times New Roman"/>
          <w:szCs w:val="24"/>
        </w:rPr>
        <w:t>.</w:t>
      </w:r>
    </w:p>
    <w:p w14:paraId="53149560" w14:textId="68E34D6C" w:rsidR="001F3B1A" w:rsidRPr="000C09AC" w:rsidRDefault="001F3B1A" w:rsidP="000C09AC">
      <w:pPr>
        <w:pStyle w:val="ListParagraph"/>
        <w:numPr>
          <w:ilvl w:val="0"/>
          <w:numId w:val="6"/>
        </w:numPr>
        <w:spacing w:after="120"/>
        <w:ind w:right="0"/>
        <w:contextualSpacing w:val="0"/>
        <w:rPr>
          <w:rFonts w:cs="Times New Roman"/>
          <w:szCs w:val="24"/>
        </w:rPr>
      </w:pPr>
      <w:r w:rsidRPr="000C09AC">
        <w:rPr>
          <w:rFonts w:cs="Times New Roman"/>
          <w:szCs w:val="24"/>
        </w:rPr>
        <w:t xml:space="preserve">rashodi za usluge Fond – 0,4 </w:t>
      </w:r>
      <w:r w:rsidR="00A050EE" w:rsidRPr="000C09AC">
        <w:rPr>
          <w:rFonts w:cs="Times New Roman"/>
          <w:szCs w:val="24"/>
        </w:rPr>
        <w:t>mil.</w:t>
      </w:r>
      <w:r w:rsidRPr="000C09AC">
        <w:rPr>
          <w:rFonts w:cs="Times New Roman"/>
          <w:szCs w:val="24"/>
        </w:rPr>
        <w:t xml:space="preserve"> EUR, što predstavlja 61% realizacije plana. Najveći dio rashoda za usluge Fond se odnosi na</w:t>
      </w:r>
      <w:r w:rsidR="000C09AC" w:rsidRPr="000C09AC">
        <w:rPr>
          <w:rFonts w:cs="Times New Roman"/>
          <w:szCs w:val="24"/>
        </w:rPr>
        <w:t xml:space="preserve"> </w:t>
      </w:r>
      <w:r w:rsidR="000C09AC">
        <w:rPr>
          <w:rFonts w:cs="Times New Roman"/>
          <w:szCs w:val="24"/>
        </w:rPr>
        <w:t>najamnine i zakupnine (100.</w:t>
      </w:r>
      <w:r w:rsidR="00FF2D9C">
        <w:rPr>
          <w:rFonts w:cs="Times New Roman"/>
          <w:szCs w:val="24"/>
        </w:rPr>
        <w:t>000</w:t>
      </w:r>
      <w:r w:rsidR="000C09AC">
        <w:rPr>
          <w:rFonts w:cs="Times New Roman"/>
          <w:szCs w:val="24"/>
        </w:rPr>
        <w:t xml:space="preserve"> eura), </w:t>
      </w:r>
      <w:r w:rsidR="003D6FCF" w:rsidRPr="000C09AC">
        <w:rPr>
          <w:rFonts w:cs="Times New Roman"/>
          <w:szCs w:val="24"/>
        </w:rPr>
        <w:t xml:space="preserve">održavanje opreme i </w:t>
      </w:r>
      <w:r w:rsidR="000C09AC" w:rsidRPr="000C09AC">
        <w:rPr>
          <w:rFonts w:cs="Times New Roman"/>
          <w:szCs w:val="24"/>
        </w:rPr>
        <w:t xml:space="preserve">IT </w:t>
      </w:r>
      <w:r w:rsidR="003D6FCF" w:rsidRPr="000C09AC">
        <w:rPr>
          <w:rFonts w:cs="Times New Roman"/>
          <w:szCs w:val="24"/>
        </w:rPr>
        <w:t>podršk</w:t>
      </w:r>
      <w:r w:rsidR="000C09AC" w:rsidRPr="000C09AC">
        <w:rPr>
          <w:rFonts w:cs="Times New Roman"/>
          <w:szCs w:val="24"/>
        </w:rPr>
        <w:t>u</w:t>
      </w:r>
      <w:r w:rsidR="003D6FCF" w:rsidRPr="000C09AC">
        <w:rPr>
          <w:rFonts w:cs="Times New Roman"/>
          <w:szCs w:val="24"/>
        </w:rPr>
        <w:t xml:space="preserve"> </w:t>
      </w:r>
      <w:r w:rsidR="000C09AC" w:rsidRPr="000C09AC">
        <w:rPr>
          <w:rFonts w:cs="Times New Roman"/>
          <w:szCs w:val="24"/>
        </w:rPr>
        <w:t>(7</w:t>
      </w:r>
      <w:r w:rsidR="00FF2D9C">
        <w:rPr>
          <w:rFonts w:cs="Times New Roman"/>
          <w:szCs w:val="24"/>
        </w:rPr>
        <w:t>1.000</w:t>
      </w:r>
      <w:r w:rsidR="000C09AC" w:rsidRPr="000C09AC">
        <w:rPr>
          <w:rFonts w:cs="Times New Roman"/>
          <w:szCs w:val="24"/>
        </w:rPr>
        <w:t xml:space="preserve"> eura), </w:t>
      </w:r>
      <w:r w:rsidRPr="000C09AC">
        <w:rPr>
          <w:rFonts w:cs="Times New Roman"/>
          <w:szCs w:val="24"/>
        </w:rPr>
        <w:t xml:space="preserve">promidžbene usluge </w:t>
      </w:r>
      <w:r w:rsidR="000C09AC" w:rsidRPr="000C09AC">
        <w:rPr>
          <w:rFonts w:cs="Times New Roman"/>
          <w:szCs w:val="24"/>
        </w:rPr>
        <w:t>(71</w:t>
      </w:r>
      <w:r w:rsidR="00DB39BF" w:rsidRPr="000C09AC">
        <w:rPr>
          <w:rFonts w:cs="Times New Roman"/>
          <w:szCs w:val="24"/>
        </w:rPr>
        <w:t>.</w:t>
      </w:r>
      <w:r w:rsidR="00FF2D9C">
        <w:rPr>
          <w:rFonts w:cs="Times New Roman"/>
          <w:szCs w:val="24"/>
        </w:rPr>
        <w:t>000</w:t>
      </w:r>
      <w:r w:rsidR="00DB39BF" w:rsidRPr="000C09AC">
        <w:rPr>
          <w:rFonts w:cs="Times New Roman"/>
          <w:szCs w:val="24"/>
        </w:rPr>
        <w:t xml:space="preserve"> eura</w:t>
      </w:r>
      <w:r w:rsidR="000C09AC" w:rsidRPr="000C09AC">
        <w:rPr>
          <w:rFonts w:cs="Times New Roman"/>
          <w:szCs w:val="24"/>
        </w:rPr>
        <w:t>) te odvjetničke usluge (65.</w:t>
      </w:r>
      <w:r w:rsidR="00FF2D9C">
        <w:rPr>
          <w:rFonts w:cs="Times New Roman"/>
          <w:szCs w:val="24"/>
        </w:rPr>
        <w:t>000</w:t>
      </w:r>
      <w:r w:rsidR="000C09AC" w:rsidRPr="000C09AC">
        <w:rPr>
          <w:rFonts w:cs="Times New Roman"/>
          <w:szCs w:val="24"/>
        </w:rPr>
        <w:t xml:space="preserve"> eura).</w:t>
      </w:r>
    </w:p>
    <w:p w14:paraId="15686B84" w14:textId="33690EA0" w:rsidR="0097030F" w:rsidRPr="00C07BE5" w:rsidRDefault="0097030F" w:rsidP="0084520A">
      <w:pPr>
        <w:rPr>
          <w:rFonts w:cs="Times New Roman"/>
          <w:b/>
          <w:bCs/>
          <w:szCs w:val="24"/>
        </w:rPr>
      </w:pPr>
      <w:r w:rsidRPr="00C07BE5">
        <w:rPr>
          <w:rFonts w:cs="Times New Roman"/>
          <w:b/>
          <w:bCs/>
          <w:szCs w:val="24"/>
        </w:rPr>
        <w:t>Naknada lokalnoj zajednici</w:t>
      </w:r>
    </w:p>
    <w:p w14:paraId="051CB6DE" w14:textId="19722012" w:rsidR="0097030F" w:rsidRPr="00C07BE5" w:rsidRDefault="0097030F" w:rsidP="0097030F">
      <w:pPr>
        <w:pStyle w:val="ListParagraph"/>
        <w:numPr>
          <w:ilvl w:val="0"/>
          <w:numId w:val="9"/>
        </w:numPr>
        <w:rPr>
          <w:rFonts w:cs="Times New Roman"/>
          <w:szCs w:val="24"/>
        </w:rPr>
      </w:pPr>
      <w:r w:rsidRPr="00C07BE5">
        <w:rPr>
          <w:rFonts w:cs="Times New Roman"/>
          <w:szCs w:val="24"/>
        </w:rPr>
        <w:t>U 202</w:t>
      </w:r>
      <w:r w:rsidR="00881B74" w:rsidRPr="00C07BE5">
        <w:rPr>
          <w:rFonts w:cs="Times New Roman"/>
          <w:szCs w:val="24"/>
        </w:rPr>
        <w:t>3</w:t>
      </w:r>
      <w:r w:rsidRPr="00C07BE5">
        <w:rPr>
          <w:rFonts w:cs="Times New Roman"/>
          <w:szCs w:val="24"/>
        </w:rPr>
        <w:t>. godini nije isplaćena nakn</w:t>
      </w:r>
      <w:r w:rsidR="00DD3C4D" w:rsidRPr="00C07BE5">
        <w:rPr>
          <w:rFonts w:cs="Times New Roman"/>
          <w:szCs w:val="24"/>
        </w:rPr>
        <w:t>a</w:t>
      </w:r>
      <w:r w:rsidRPr="00C07BE5">
        <w:rPr>
          <w:rFonts w:cs="Times New Roman"/>
          <w:szCs w:val="24"/>
        </w:rPr>
        <w:t>da lokalnoj zajednici. Ista će se početi isplaćivati nakon donošenja Uredbe o visini naknade i načinu financiranja jedinice lokalne i područne (regionalne) samouprave na čijem području se uspostavljaju ili nalaze građevine za zbrinjavanje radioaktivnog otpada u vlasništvu Fonda.</w:t>
      </w:r>
      <w:r w:rsidR="00820BAE" w:rsidRPr="00C07BE5">
        <w:rPr>
          <w:rFonts w:cs="Times New Roman"/>
          <w:szCs w:val="24"/>
        </w:rPr>
        <w:t xml:space="preserve"> </w:t>
      </w:r>
    </w:p>
    <w:p w14:paraId="25CA8407" w14:textId="77777777" w:rsidR="007C3D90" w:rsidRPr="00C07BE5" w:rsidRDefault="007C3D90">
      <w:pPr>
        <w:spacing w:after="160" w:line="360" w:lineRule="auto"/>
        <w:jc w:val="left"/>
        <w:rPr>
          <w:rFonts w:eastAsiaTheme="majorEastAsia" w:cs="Times New Roman"/>
          <w:color w:val="646668"/>
          <w:sz w:val="36"/>
          <w:szCs w:val="26"/>
        </w:rPr>
      </w:pPr>
      <w:bookmarkStart w:id="102" w:name="_Toc80697108"/>
      <w:bookmarkStart w:id="103" w:name="_Toc127350268"/>
      <w:r w:rsidRPr="00C07BE5">
        <w:rPr>
          <w:rFonts w:cs="Times New Roman"/>
        </w:rPr>
        <w:br w:type="page"/>
      </w:r>
    </w:p>
    <w:p w14:paraId="494E6813" w14:textId="075A1454" w:rsidR="00423CDD" w:rsidRPr="00C07BE5" w:rsidRDefault="00C37D56" w:rsidP="00423CDD">
      <w:pPr>
        <w:pStyle w:val="Heading2"/>
        <w:rPr>
          <w:rFonts w:ascii="Times New Roman" w:hAnsi="Times New Roman" w:cs="Times New Roman"/>
        </w:rPr>
      </w:pPr>
      <w:bookmarkStart w:id="104" w:name="_Toc158992045"/>
      <w:r w:rsidRPr="00C07BE5">
        <w:rPr>
          <w:rFonts w:ascii="Times New Roman" w:hAnsi="Times New Roman" w:cs="Times New Roman"/>
        </w:rPr>
        <w:lastRenderedPageBreak/>
        <w:t>Neto r</w:t>
      </w:r>
      <w:r w:rsidR="00423CDD" w:rsidRPr="00C07BE5">
        <w:rPr>
          <w:rFonts w:ascii="Times New Roman" w:hAnsi="Times New Roman" w:cs="Times New Roman"/>
        </w:rPr>
        <w:t>ezultat poslovanja</w:t>
      </w:r>
      <w:bookmarkEnd w:id="102"/>
      <w:bookmarkEnd w:id="103"/>
      <w:bookmarkEnd w:id="104"/>
    </w:p>
    <w:p w14:paraId="5FFB7FFC" w14:textId="12CF9FE2" w:rsidR="00423CDD" w:rsidRPr="00C07BE5" w:rsidRDefault="00423CDD" w:rsidP="00423CDD">
      <w:pPr>
        <w:rPr>
          <w:rFonts w:cs="Times New Roman"/>
          <w:szCs w:val="24"/>
        </w:rPr>
      </w:pPr>
      <w:r w:rsidRPr="00C07BE5">
        <w:rPr>
          <w:rFonts w:cs="Times New Roman"/>
          <w:szCs w:val="24"/>
        </w:rPr>
        <w:t>Na temelju ukupnih prihoda i rashoda Fonda daje se rezultat poslovanja Fonda za 202</w:t>
      </w:r>
      <w:r w:rsidR="0045103A" w:rsidRPr="00C07BE5">
        <w:rPr>
          <w:rFonts w:cs="Times New Roman"/>
          <w:szCs w:val="24"/>
        </w:rPr>
        <w:t>3</w:t>
      </w:r>
      <w:r w:rsidRPr="00C07BE5">
        <w:rPr>
          <w:rFonts w:cs="Times New Roman"/>
          <w:szCs w:val="24"/>
        </w:rPr>
        <w:t>. godin</w:t>
      </w:r>
      <w:r w:rsidR="00CB09BE" w:rsidRPr="00C07BE5">
        <w:rPr>
          <w:rFonts w:cs="Times New Roman"/>
          <w:szCs w:val="24"/>
        </w:rPr>
        <w:t>u</w:t>
      </w:r>
      <w:r w:rsidRPr="00C07BE5">
        <w:rPr>
          <w:rFonts w:cs="Times New Roman"/>
          <w:szCs w:val="24"/>
        </w:rPr>
        <w:t>.</w:t>
      </w:r>
    </w:p>
    <w:p w14:paraId="0A820903" w14:textId="2259250B" w:rsidR="00BE0D96" w:rsidRPr="00C07BE5" w:rsidRDefault="00BE0D96" w:rsidP="00BE0D96">
      <w:pPr>
        <w:pStyle w:val="Caption"/>
        <w:keepNext/>
        <w:jc w:val="left"/>
        <w:rPr>
          <w:rFonts w:cs="Times New Roman"/>
          <w:i w:val="0"/>
          <w:iCs w:val="0"/>
          <w:sz w:val="22"/>
          <w:szCs w:val="22"/>
        </w:rPr>
      </w:pPr>
      <w:bookmarkStart w:id="105" w:name="_Toc158991960"/>
      <w:r w:rsidRPr="00C07BE5">
        <w:rPr>
          <w:rFonts w:cs="Times New Roman"/>
          <w:i w:val="0"/>
          <w:iCs w:val="0"/>
          <w:sz w:val="22"/>
          <w:szCs w:val="22"/>
        </w:rPr>
        <w:t xml:space="preserve">Tablica </w:t>
      </w:r>
      <w:r w:rsidRPr="00C07BE5">
        <w:rPr>
          <w:rFonts w:cs="Times New Roman"/>
          <w:i w:val="0"/>
          <w:iCs w:val="0"/>
          <w:sz w:val="22"/>
          <w:szCs w:val="22"/>
        </w:rPr>
        <w:fldChar w:fldCharType="begin"/>
      </w:r>
      <w:r w:rsidRPr="00C07BE5">
        <w:rPr>
          <w:rFonts w:cs="Times New Roman"/>
          <w:i w:val="0"/>
          <w:iCs w:val="0"/>
          <w:sz w:val="22"/>
          <w:szCs w:val="22"/>
        </w:rPr>
        <w:instrText xml:space="preserve"> SEQ Tablica \* ARABIC </w:instrText>
      </w:r>
      <w:r w:rsidRPr="00C07BE5">
        <w:rPr>
          <w:rFonts w:cs="Times New Roman"/>
          <w:i w:val="0"/>
          <w:iCs w:val="0"/>
          <w:sz w:val="22"/>
          <w:szCs w:val="22"/>
        </w:rPr>
        <w:fldChar w:fldCharType="separate"/>
      </w:r>
      <w:r w:rsidR="007C3D90" w:rsidRPr="00C07BE5">
        <w:rPr>
          <w:rFonts w:cs="Times New Roman"/>
          <w:i w:val="0"/>
          <w:iCs w:val="0"/>
          <w:noProof/>
          <w:sz w:val="22"/>
          <w:szCs w:val="22"/>
        </w:rPr>
        <w:t>3</w:t>
      </w:r>
      <w:r w:rsidRPr="00C07BE5">
        <w:rPr>
          <w:rFonts w:cs="Times New Roman"/>
          <w:i w:val="0"/>
          <w:iCs w:val="0"/>
          <w:sz w:val="22"/>
          <w:szCs w:val="22"/>
        </w:rPr>
        <w:fldChar w:fldCharType="end"/>
      </w:r>
      <w:r w:rsidRPr="00C07BE5">
        <w:rPr>
          <w:rFonts w:cs="Times New Roman"/>
          <w:i w:val="0"/>
          <w:iCs w:val="0"/>
          <w:sz w:val="22"/>
          <w:szCs w:val="22"/>
        </w:rPr>
        <w:t xml:space="preserve"> – Neto rezultat poslovanja</w:t>
      </w:r>
      <w:bookmarkEnd w:id="105"/>
    </w:p>
    <w:p w14:paraId="7077ECA8" w14:textId="648E5270" w:rsidR="00C37D56" w:rsidRPr="00C07BE5" w:rsidRDefault="00BE0D96" w:rsidP="00423CDD">
      <w:pPr>
        <w:rPr>
          <w:rFonts w:cs="Times New Roman"/>
          <w:szCs w:val="24"/>
        </w:rPr>
      </w:pPr>
      <w:r w:rsidRPr="00C07BE5">
        <w:rPr>
          <w:noProof/>
        </w:rPr>
        <w:drawing>
          <wp:inline distT="0" distB="0" distL="0" distR="0" wp14:anchorId="7C9BFDDB" wp14:editId="6662A6DB">
            <wp:extent cx="6106795" cy="1451610"/>
            <wp:effectExtent l="0" t="0" r="8255" b="0"/>
            <wp:docPr id="20139584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6795" cy="1451610"/>
                    </a:xfrm>
                    <a:prstGeom prst="rect">
                      <a:avLst/>
                    </a:prstGeom>
                    <a:noFill/>
                    <a:ln>
                      <a:noFill/>
                    </a:ln>
                  </pic:spPr>
                </pic:pic>
              </a:graphicData>
            </a:graphic>
          </wp:inline>
        </w:drawing>
      </w:r>
    </w:p>
    <w:p w14:paraId="03B53488" w14:textId="2DC41F24" w:rsidR="00C37D56" w:rsidRPr="00C07BE5" w:rsidRDefault="00C37D56" w:rsidP="00423CDD">
      <w:pPr>
        <w:rPr>
          <w:rFonts w:cs="Times New Roman"/>
          <w:szCs w:val="24"/>
        </w:rPr>
      </w:pPr>
      <w:r w:rsidRPr="00C07BE5">
        <w:rPr>
          <w:rFonts w:cs="Times New Roman"/>
          <w:szCs w:val="24"/>
        </w:rPr>
        <w:t>U sljedećoj tablici dani su temeljni pokazatelji uspješnosti ulaganja sredstava Fonda odnosno ostvarenja prinosa na prosječno stanje ulaganja.</w:t>
      </w:r>
    </w:p>
    <w:p w14:paraId="5F2CB0A3" w14:textId="60FE314C" w:rsidR="003E5AA5" w:rsidRPr="00C07BE5" w:rsidRDefault="003E5AA5" w:rsidP="003E5AA5">
      <w:pPr>
        <w:pStyle w:val="Caption"/>
        <w:keepNext/>
        <w:jc w:val="left"/>
        <w:rPr>
          <w:rFonts w:cs="Times New Roman"/>
          <w:i w:val="0"/>
          <w:iCs w:val="0"/>
          <w:sz w:val="22"/>
          <w:szCs w:val="22"/>
        </w:rPr>
      </w:pPr>
      <w:bookmarkStart w:id="106" w:name="_Toc158991961"/>
      <w:r w:rsidRPr="00C07BE5">
        <w:rPr>
          <w:rFonts w:cs="Times New Roman"/>
          <w:i w:val="0"/>
          <w:iCs w:val="0"/>
          <w:sz w:val="22"/>
          <w:szCs w:val="22"/>
        </w:rPr>
        <w:t xml:space="preserve">Tablica </w:t>
      </w:r>
      <w:r w:rsidRPr="00C07BE5">
        <w:rPr>
          <w:rFonts w:cs="Times New Roman"/>
          <w:i w:val="0"/>
          <w:iCs w:val="0"/>
          <w:sz w:val="22"/>
          <w:szCs w:val="22"/>
        </w:rPr>
        <w:fldChar w:fldCharType="begin"/>
      </w:r>
      <w:r w:rsidRPr="00C07BE5">
        <w:rPr>
          <w:rFonts w:cs="Times New Roman"/>
          <w:i w:val="0"/>
          <w:iCs w:val="0"/>
          <w:sz w:val="22"/>
          <w:szCs w:val="22"/>
        </w:rPr>
        <w:instrText xml:space="preserve"> SEQ Tablica \* ARABIC </w:instrText>
      </w:r>
      <w:r w:rsidRPr="00C07BE5">
        <w:rPr>
          <w:rFonts w:cs="Times New Roman"/>
          <w:i w:val="0"/>
          <w:iCs w:val="0"/>
          <w:sz w:val="22"/>
          <w:szCs w:val="22"/>
        </w:rPr>
        <w:fldChar w:fldCharType="separate"/>
      </w:r>
      <w:r w:rsidR="007C3D90" w:rsidRPr="00C07BE5">
        <w:rPr>
          <w:rFonts w:cs="Times New Roman"/>
          <w:i w:val="0"/>
          <w:iCs w:val="0"/>
          <w:noProof/>
          <w:sz w:val="22"/>
          <w:szCs w:val="22"/>
        </w:rPr>
        <w:t>4</w:t>
      </w:r>
      <w:r w:rsidRPr="00C07BE5">
        <w:rPr>
          <w:rFonts w:cs="Times New Roman"/>
          <w:i w:val="0"/>
          <w:iCs w:val="0"/>
          <w:sz w:val="22"/>
          <w:szCs w:val="22"/>
        </w:rPr>
        <w:fldChar w:fldCharType="end"/>
      </w:r>
      <w:r w:rsidRPr="00C07BE5">
        <w:rPr>
          <w:rFonts w:cs="Times New Roman"/>
          <w:i w:val="0"/>
          <w:iCs w:val="0"/>
          <w:sz w:val="22"/>
          <w:szCs w:val="22"/>
        </w:rPr>
        <w:t xml:space="preserve"> - Pregled </w:t>
      </w:r>
      <w:r w:rsidR="006F0831" w:rsidRPr="00C07BE5">
        <w:rPr>
          <w:rFonts w:cs="Times New Roman"/>
          <w:i w:val="0"/>
          <w:iCs w:val="0"/>
          <w:sz w:val="22"/>
          <w:szCs w:val="22"/>
        </w:rPr>
        <w:t>ostvarenja prinosa na prosječno stanje ulaganja</w:t>
      </w:r>
      <w:bookmarkEnd w:id="106"/>
    </w:p>
    <w:p w14:paraId="66D97CCA" w14:textId="735FD446" w:rsidR="00707E93" w:rsidRPr="00C07BE5" w:rsidRDefault="00294016" w:rsidP="000E2D19">
      <w:pPr>
        <w:jc w:val="center"/>
        <w:rPr>
          <w:rFonts w:ascii="Montserrat" w:hAnsi="Montserrat"/>
        </w:rPr>
      </w:pPr>
      <w:r w:rsidRPr="00C07BE5">
        <w:rPr>
          <w:noProof/>
        </w:rPr>
        <w:drawing>
          <wp:inline distT="0" distB="0" distL="0" distR="0" wp14:anchorId="4208C93F" wp14:editId="6DE1E5E2">
            <wp:extent cx="4857750" cy="1644817"/>
            <wp:effectExtent l="0" t="0" r="0" b="0"/>
            <wp:docPr id="15229655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2769" cy="1649903"/>
                    </a:xfrm>
                    <a:prstGeom prst="rect">
                      <a:avLst/>
                    </a:prstGeom>
                    <a:noFill/>
                    <a:ln>
                      <a:noFill/>
                    </a:ln>
                  </pic:spPr>
                </pic:pic>
              </a:graphicData>
            </a:graphic>
          </wp:inline>
        </w:drawing>
      </w:r>
    </w:p>
    <w:p w14:paraId="5B5C2C9F" w14:textId="77777777" w:rsidR="00623CFA" w:rsidRPr="00C07BE5" w:rsidRDefault="00623CFA" w:rsidP="00623CFA">
      <w:pPr>
        <w:rPr>
          <w:rFonts w:cs="Times New Roman"/>
          <w:szCs w:val="24"/>
        </w:rPr>
      </w:pPr>
      <w:r w:rsidRPr="00C07BE5">
        <w:rPr>
          <w:rFonts w:cs="Times New Roman"/>
          <w:szCs w:val="24"/>
        </w:rPr>
        <w:t xml:space="preserve">Prosječno stanje ulaganja u promatranom razdoblju izračunato je na temelju svakodnevnog stvarnog stanja financijskih sredstava tijekom 2023. godine i iznosi 374,3 mil. EUR. </w:t>
      </w:r>
    </w:p>
    <w:p w14:paraId="7E869F77" w14:textId="77777777" w:rsidR="005A6002" w:rsidRPr="00C07BE5" w:rsidRDefault="005A6002" w:rsidP="003D1D8E">
      <w:pPr>
        <w:rPr>
          <w:rFonts w:cs="Times New Roman"/>
          <w:szCs w:val="24"/>
        </w:rPr>
      </w:pPr>
      <w:r w:rsidRPr="00C07BE5">
        <w:rPr>
          <w:rFonts w:cs="Times New Roman"/>
          <w:szCs w:val="24"/>
        </w:rPr>
        <w:t>Dvije su osnovne metodologije za izračun prinosa:</w:t>
      </w:r>
    </w:p>
    <w:p w14:paraId="188AC54B" w14:textId="7B4C5C96" w:rsidR="005A6002" w:rsidRPr="00C07BE5" w:rsidRDefault="005A6002" w:rsidP="005A6002">
      <w:pPr>
        <w:pStyle w:val="ListParagraph"/>
        <w:numPr>
          <w:ilvl w:val="0"/>
          <w:numId w:val="9"/>
        </w:numPr>
        <w:rPr>
          <w:rFonts w:cs="Times New Roman"/>
          <w:szCs w:val="24"/>
        </w:rPr>
      </w:pPr>
      <w:r w:rsidRPr="00C07BE5">
        <w:rPr>
          <w:rFonts w:cs="Times New Roman"/>
          <w:szCs w:val="24"/>
        </w:rPr>
        <w:t xml:space="preserve">Osnovna metodologija uzima u obzir neto financijski rezultat od kojega </w:t>
      </w:r>
      <w:r w:rsidR="00694B61" w:rsidRPr="00C07BE5">
        <w:rPr>
          <w:rFonts w:cs="Times New Roman"/>
          <w:szCs w:val="24"/>
        </w:rPr>
        <w:t xml:space="preserve">se </w:t>
      </w:r>
      <w:r w:rsidRPr="00C07BE5">
        <w:rPr>
          <w:rFonts w:cs="Times New Roman"/>
          <w:szCs w:val="24"/>
        </w:rPr>
        <w:t>oduzima</w:t>
      </w:r>
      <w:r w:rsidR="00694B61" w:rsidRPr="00C07BE5">
        <w:rPr>
          <w:rFonts w:cs="Times New Roman"/>
          <w:szCs w:val="24"/>
        </w:rPr>
        <w:t>ju</w:t>
      </w:r>
      <w:r w:rsidRPr="00C07BE5">
        <w:rPr>
          <w:rFonts w:cs="Times New Roman"/>
          <w:szCs w:val="24"/>
        </w:rPr>
        <w:t xml:space="preserve"> </w:t>
      </w:r>
      <w:r w:rsidR="00694B61" w:rsidRPr="00C07BE5">
        <w:rPr>
          <w:rFonts w:cs="Times New Roman"/>
          <w:szCs w:val="24"/>
        </w:rPr>
        <w:t xml:space="preserve">ukupni rashodi </w:t>
      </w:r>
      <w:r w:rsidRPr="00C07BE5">
        <w:rPr>
          <w:rFonts w:cs="Times New Roman"/>
          <w:szCs w:val="24"/>
        </w:rPr>
        <w:t>Fonda. Neto prinos</w:t>
      </w:r>
      <w:r w:rsidR="00623CFA" w:rsidRPr="00C07BE5">
        <w:rPr>
          <w:rFonts w:cs="Times New Roman"/>
          <w:szCs w:val="24"/>
        </w:rPr>
        <w:t xml:space="preserve"> iznosi 7,24%.</w:t>
      </w:r>
    </w:p>
    <w:p w14:paraId="17AEC6C4" w14:textId="4EF4BCDD" w:rsidR="003D1D8E" w:rsidRPr="00C07BE5" w:rsidRDefault="005A6002" w:rsidP="005A6002">
      <w:pPr>
        <w:pStyle w:val="ListParagraph"/>
        <w:numPr>
          <w:ilvl w:val="0"/>
          <w:numId w:val="9"/>
        </w:numPr>
        <w:rPr>
          <w:rFonts w:cs="Times New Roman"/>
          <w:szCs w:val="24"/>
        </w:rPr>
      </w:pPr>
      <w:r w:rsidRPr="00C07BE5">
        <w:rPr>
          <w:rFonts w:cs="Times New Roman"/>
          <w:szCs w:val="24"/>
        </w:rPr>
        <w:t>Prilagođena metodologija uzima u obzir neto financijski rezultat od kojega</w:t>
      </w:r>
      <w:r w:rsidR="00694B61" w:rsidRPr="00C07BE5">
        <w:rPr>
          <w:rFonts w:cs="Times New Roman"/>
          <w:szCs w:val="24"/>
        </w:rPr>
        <w:t xml:space="preserve"> se</w:t>
      </w:r>
      <w:r w:rsidRPr="00C07BE5">
        <w:rPr>
          <w:rFonts w:cs="Times New Roman"/>
          <w:szCs w:val="24"/>
        </w:rPr>
        <w:t xml:space="preserve"> oduzima</w:t>
      </w:r>
      <w:r w:rsidR="00694B61" w:rsidRPr="00C07BE5">
        <w:rPr>
          <w:rFonts w:cs="Times New Roman"/>
          <w:szCs w:val="24"/>
        </w:rPr>
        <w:t>ju</w:t>
      </w:r>
      <w:r w:rsidRPr="00C07BE5">
        <w:rPr>
          <w:rFonts w:cs="Times New Roman"/>
          <w:szCs w:val="24"/>
        </w:rPr>
        <w:t xml:space="preserve"> </w:t>
      </w:r>
      <w:r w:rsidR="00B36155">
        <w:rPr>
          <w:rFonts w:cs="Times New Roman"/>
          <w:szCs w:val="24"/>
        </w:rPr>
        <w:t xml:space="preserve">samo </w:t>
      </w:r>
      <w:r w:rsidR="00694B61" w:rsidRPr="00C07BE5">
        <w:rPr>
          <w:rFonts w:cs="Times New Roman"/>
          <w:szCs w:val="24"/>
        </w:rPr>
        <w:t>rashodi koji se ne odnose na djelatnost zbrinjavanja radioaktivnog otpada</w:t>
      </w:r>
      <w:r w:rsidR="00B36155">
        <w:rPr>
          <w:rFonts w:cs="Times New Roman"/>
          <w:szCs w:val="24"/>
        </w:rPr>
        <w:t xml:space="preserve"> i koji iznose 0,7 mil. EUR. </w:t>
      </w:r>
      <w:r w:rsidR="00623CFA" w:rsidRPr="00C07BE5">
        <w:rPr>
          <w:rFonts w:cs="Times New Roman"/>
          <w:szCs w:val="24"/>
        </w:rPr>
        <w:t>Neto prinos iznosi 7,79%</w:t>
      </w:r>
      <w:r w:rsidR="00694B61" w:rsidRPr="00C07BE5">
        <w:rPr>
          <w:rFonts w:cs="Times New Roman"/>
          <w:szCs w:val="24"/>
        </w:rPr>
        <w:t xml:space="preserve"> i metodološki je usporediv je sa izračunom prinosa u slovenskom fondu za financiranje razgradnje NE Krško.</w:t>
      </w:r>
    </w:p>
    <w:p w14:paraId="337EEF9E" w14:textId="13116445" w:rsidR="00423CDD" w:rsidRPr="00C07BE5" w:rsidRDefault="00AE2F1C" w:rsidP="00423CDD">
      <w:pPr>
        <w:rPr>
          <w:rFonts w:cs="Times New Roman"/>
          <w:szCs w:val="24"/>
        </w:rPr>
      </w:pPr>
      <w:r w:rsidRPr="00C07BE5">
        <w:rPr>
          <w:rFonts w:cs="Times New Roman"/>
          <w:szCs w:val="24"/>
        </w:rPr>
        <w:t xml:space="preserve">Za usporedbu, neto prinos mirovinskih fondova </w:t>
      </w:r>
      <w:r w:rsidR="00B36155">
        <w:rPr>
          <w:rFonts w:cs="Times New Roman"/>
          <w:szCs w:val="24"/>
        </w:rPr>
        <w:t xml:space="preserve">u 2023. kretao se </w:t>
      </w:r>
      <w:r w:rsidRPr="00C07BE5">
        <w:rPr>
          <w:rFonts w:cs="Times New Roman"/>
          <w:szCs w:val="24"/>
        </w:rPr>
        <w:t>u rasponu od 4,00% (MIREX C), preko 10,19% (MIREX B), do 14,88% (MIREX A).</w:t>
      </w:r>
    </w:p>
    <w:p w14:paraId="4EAB1E50" w14:textId="57AC0975" w:rsidR="00F82D4F" w:rsidRPr="00C07BE5" w:rsidRDefault="00423CDD" w:rsidP="00705C84">
      <w:pPr>
        <w:rPr>
          <w:rFonts w:cs="Times New Roman"/>
          <w:szCs w:val="24"/>
        </w:rPr>
      </w:pPr>
      <w:r w:rsidRPr="00C07BE5">
        <w:rPr>
          <w:rFonts w:cs="Times New Roman"/>
          <w:szCs w:val="24"/>
        </w:rPr>
        <w:t>Pregled stanja svih pojedinačnih ulaganja iskazan je u Dodatku I</w:t>
      </w:r>
      <w:r w:rsidR="00BC2033" w:rsidRPr="00C07BE5">
        <w:rPr>
          <w:rFonts w:cs="Times New Roman"/>
          <w:szCs w:val="24"/>
        </w:rPr>
        <w:t>.</w:t>
      </w:r>
      <w:r w:rsidRPr="00C07BE5">
        <w:rPr>
          <w:rFonts w:cs="Times New Roman"/>
          <w:szCs w:val="24"/>
        </w:rPr>
        <w:t xml:space="preserve"> ovog izvješća.</w:t>
      </w:r>
      <w:bookmarkStart w:id="107" w:name="_Toc80697109"/>
    </w:p>
    <w:p w14:paraId="7DF3A5FE" w14:textId="0A1FF848" w:rsidR="00EC4DA3" w:rsidRPr="00C07BE5" w:rsidRDefault="00EC4DA3">
      <w:pPr>
        <w:spacing w:after="160" w:line="360" w:lineRule="auto"/>
        <w:jc w:val="left"/>
        <w:rPr>
          <w:rFonts w:ascii="Montserrat" w:eastAsiaTheme="majorEastAsia" w:hAnsi="Montserrat" w:cstheme="majorBidi"/>
          <w:color w:val="646668"/>
          <w:sz w:val="36"/>
          <w:szCs w:val="26"/>
        </w:rPr>
      </w:pPr>
      <w:bookmarkStart w:id="108" w:name="_Toc157670711"/>
      <w:bookmarkEnd w:id="108"/>
      <w:r w:rsidRPr="00C07BE5">
        <w:br w:type="page"/>
      </w:r>
    </w:p>
    <w:p w14:paraId="55AA940F" w14:textId="070E3857" w:rsidR="00423CDD" w:rsidRPr="00C07BE5" w:rsidRDefault="00423CDD" w:rsidP="00423CDD">
      <w:pPr>
        <w:pStyle w:val="Heading2"/>
        <w:rPr>
          <w:rFonts w:ascii="Times New Roman" w:hAnsi="Times New Roman" w:cs="Times New Roman"/>
        </w:rPr>
      </w:pPr>
      <w:bookmarkStart w:id="109" w:name="_Toc157682507"/>
      <w:bookmarkStart w:id="110" w:name="_Toc157682995"/>
      <w:bookmarkStart w:id="111" w:name="_Toc157683079"/>
      <w:bookmarkStart w:id="112" w:name="_Toc158020115"/>
      <w:bookmarkStart w:id="113" w:name="_Toc127350269"/>
      <w:bookmarkStart w:id="114" w:name="_Toc158992046"/>
      <w:bookmarkEnd w:id="109"/>
      <w:bookmarkEnd w:id="110"/>
      <w:bookmarkEnd w:id="111"/>
      <w:bookmarkEnd w:id="112"/>
      <w:r w:rsidRPr="00C07BE5">
        <w:rPr>
          <w:rFonts w:ascii="Times New Roman" w:hAnsi="Times New Roman" w:cs="Times New Roman"/>
        </w:rPr>
        <w:lastRenderedPageBreak/>
        <w:t>Bilanca stanja i neto imovina</w:t>
      </w:r>
      <w:bookmarkEnd w:id="107"/>
      <w:bookmarkEnd w:id="113"/>
      <w:bookmarkEnd w:id="114"/>
    </w:p>
    <w:p w14:paraId="7BA977E9" w14:textId="20C1A465" w:rsidR="003F3B06" w:rsidRPr="00C07BE5" w:rsidRDefault="003F3B06" w:rsidP="003F3B06">
      <w:pPr>
        <w:rPr>
          <w:rFonts w:cs="Times New Roman"/>
          <w:szCs w:val="24"/>
        </w:rPr>
      </w:pPr>
      <w:r w:rsidRPr="00C07BE5">
        <w:rPr>
          <w:rFonts w:cs="Times New Roman"/>
          <w:szCs w:val="24"/>
        </w:rPr>
        <w:t>Pregled imovine i obveza Fonda na dan 31.12.202</w:t>
      </w:r>
      <w:r w:rsidR="001F3B1A" w:rsidRPr="00C07BE5">
        <w:rPr>
          <w:rFonts w:cs="Times New Roman"/>
          <w:szCs w:val="24"/>
        </w:rPr>
        <w:t>3</w:t>
      </w:r>
      <w:r w:rsidRPr="00C07BE5">
        <w:rPr>
          <w:rFonts w:cs="Times New Roman"/>
          <w:szCs w:val="24"/>
        </w:rPr>
        <w:t>. iskazan je kroz sljedeću tablicu:</w:t>
      </w:r>
    </w:p>
    <w:p w14:paraId="529F17FE" w14:textId="60CDFAC7" w:rsidR="003F3B06" w:rsidRPr="00C07BE5" w:rsidRDefault="003F3B06" w:rsidP="003F3B06">
      <w:pPr>
        <w:pStyle w:val="Caption"/>
        <w:keepNext/>
        <w:jc w:val="left"/>
        <w:rPr>
          <w:rFonts w:cs="Times New Roman"/>
          <w:i w:val="0"/>
          <w:iCs w:val="0"/>
          <w:sz w:val="22"/>
          <w:szCs w:val="22"/>
        </w:rPr>
      </w:pPr>
      <w:bookmarkStart w:id="115" w:name="_Toc158991962"/>
      <w:r w:rsidRPr="00C07BE5">
        <w:rPr>
          <w:rFonts w:cs="Times New Roman"/>
          <w:i w:val="0"/>
          <w:iCs w:val="0"/>
          <w:sz w:val="22"/>
          <w:szCs w:val="22"/>
        </w:rPr>
        <w:t xml:space="preserve">Tablica </w:t>
      </w:r>
      <w:r w:rsidRPr="00C07BE5">
        <w:rPr>
          <w:rFonts w:cs="Times New Roman"/>
          <w:i w:val="0"/>
          <w:iCs w:val="0"/>
          <w:sz w:val="22"/>
          <w:szCs w:val="22"/>
        </w:rPr>
        <w:fldChar w:fldCharType="begin"/>
      </w:r>
      <w:r w:rsidRPr="00C07BE5">
        <w:rPr>
          <w:rFonts w:cs="Times New Roman"/>
          <w:i w:val="0"/>
          <w:iCs w:val="0"/>
          <w:sz w:val="22"/>
          <w:szCs w:val="22"/>
        </w:rPr>
        <w:instrText xml:space="preserve"> SEQ Tablica \* ARABIC </w:instrText>
      </w:r>
      <w:r w:rsidRPr="00C07BE5">
        <w:rPr>
          <w:rFonts w:cs="Times New Roman"/>
          <w:i w:val="0"/>
          <w:iCs w:val="0"/>
          <w:sz w:val="22"/>
          <w:szCs w:val="22"/>
        </w:rPr>
        <w:fldChar w:fldCharType="separate"/>
      </w:r>
      <w:r w:rsidR="007C3D90" w:rsidRPr="00C07BE5">
        <w:rPr>
          <w:rFonts w:cs="Times New Roman"/>
          <w:i w:val="0"/>
          <w:iCs w:val="0"/>
          <w:noProof/>
          <w:sz w:val="22"/>
          <w:szCs w:val="22"/>
        </w:rPr>
        <w:t>5</w:t>
      </w:r>
      <w:r w:rsidRPr="00C07BE5">
        <w:rPr>
          <w:rFonts w:cs="Times New Roman"/>
          <w:i w:val="0"/>
          <w:iCs w:val="0"/>
          <w:sz w:val="22"/>
          <w:szCs w:val="22"/>
        </w:rPr>
        <w:fldChar w:fldCharType="end"/>
      </w:r>
      <w:r w:rsidRPr="00C07BE5">
        <w:rPr>
          <w:rFonts w:cs="Times New Roman"/>
          <w:i w:val="0"/>
          <w:iCs w:val="0"/>
          <w:sz w:val="22"/>
          <w:szCs w:val="22"/>
        </w:rPr>
        <w:t xml:space="preserve"> - Pregled imovine i obveza Fonda na dan 31.12.2023.</w:t>
      </w:r>
      <w:bookmarkEnd w:id="115"/>
    </w:p>
    <w:p w14:paraId="3C684F27" w14:textId="77777777" w:rsidR="003F3B06" w:rsidRPr="00C07BE5" w:rsidRDefault="003F3B06" w:rsidP="003F3B06">
      <w:pPr>
        <w:jc w:val="center"/>
        <w:rPr>
          <w:rFonts w:ascii="Montserrat" w:hAnsi="Montserrat"/>
        </w:rPr>
      </w:pPr>
      <w:r w:rsidRPr="00C07BE5">
        <w:rPr>
          <w:noProof/>
        </w:rPr>
        <w:drawing>
          <wp:inline distT="0" distB="0" distL="0" distR="0" wp14:anchorId="08B169E2" wp14:editId="1937A6FF">
            <wp:extent cx="5610225" cy="7324725"/>
            <wp:effectExtent l="0" t="0" r="9525" b="0"/>
            <wp:docPr id="9708684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7324725"/>
                    </a:xfrm>
                    <a:prstGeom prst="rect">
                      <a:avLst/>
                    </a:prstGeom>
                    <a:noFill/>
                    <a:ln>
                      <a:noFill/>
                    </a:ln>
                  </pic:spPr>
                </pic:pic>
              </a:graphicData>
            </a:graphic>
          </wp:inline>
        </w:drawing>
      </w:r>
      <w:r w:rsidRPr="00C07BE5">
        <w:rPr>
          <w:rFonts w:ascii="Montserrat" w:hAnsi="Montserrat"/>
        </w:rPr>
        <w:t xml:space="preserve"> </w:t>
      </w:r>
    </w:p>
    <w:p w14:paraId="3B16ECC7" w14:textId="157C92FF" w:rsidR="003F3B06" w:rsidRPr="00C07BE5" w:rsidRDefault="003F3B06" w:rsidP="003F3B06">
      <w:pPr>
        <w:rPr>
          <w:rFonts w:cs="Times New Roman"/>
          <w:szCs w:val="24"/>
        </w:rPr>
      </w:pPr>
      <w:r w:rsidRPr="00C07BE5">
        <w:rPr>
          <w:rFonts w:cs="Times New Roman"/>
          <w:szCs w:val="24"/>
        </w:rPr>
        <w:lastRenderedPageBreak/>
        <w:t>Sa datumom 31.12.2023, Fond upravlja ukupnom imovinom u iznosu od 395,2 mil. EUR, od čega se na financijsku imovinu odno</w:t>
      </w:r>
      <w:r w:rsidR="001F3B1A" w:rsidRPr="00C07BE5">
        <w:rPr>
          <w:rFonts w:cs="Times New Roman"/>
          <w:szCs w:val="24"/>
        </w:rPr>
        <w:t>s</w:t>
      </w:r>
      <w:r w:rsidRPr="00C07BE5">
        <w:rPr>
          <w:rFonts w:cs="Times New Roman"/>
          <w:szCs w:val="24"/>
        </w:rPr>
        <w:t>i 392 mil. EUR, dok se na nefinancijsku imovinu odnosi 3,2 mil. EUR</w:t>
      </w:r>
    </w:p>
    <w:p w14:paraId="36D6CFE0" w14:textId="58FFBA90" w:rsidR="003F3B06" w:rsidRPr="00C07BE5" w:rsidRDefault="003F3B06" w:rsidP="003F3B06">
      <w:pPr>
        <w:rPr>
          <w:rFonts w:cs="Times New Roman"/>
          <w:szCs w:val="24"/>
        </w:rPr>
      </w:pPr>
      <w:r w:rsidRPr="00C07BE5">
        <w:rPr>
          <w:rFonts w:cs="Times New Roman"/>
          <w:szCs w:val="24"/>
        </w:rPr>
        <w:t xml:space="preserve">Struktura </w:t>
      </w:r>
      <w:r w:rsidRPr="00C07BE5">
        <w:rPr>
          <w:rFonts w:cs="Times New Roman"/>
          <w:b/>
          <w:bCs/>
          <w:szCs w:val="24"/>
        </w:rPr>
        <w:t>financijske imovine</w:t>
      </w:r>
      <w:r w:rsidRPr="00C07BE5">
        <w:rPr>
          <w:rFonts w:cs="Times New Roman"/>
          <w:szCs w:val="24"/>
        </w:rPr>
        <w:t xml:space="preserve"> na dan 31.12.2023. je sl</w:t>
      </w:r>
      <w:r w:rsidR="00EC4DA3" w:rsidRPr="00C07BE5">
        <w:rPr>
          <w:rFonts w:cs="Times New Roman"/>
          <w:szCs w:val="24"/>
        </w:rPr>
        <w:t>i</w:t>
      </w:r>
      <w:r w:rsidRPr="00C07BE5">
        <w:rPr>
          <w:rFonts w:cs="Times New Roman"/>
          <w:szCs w:val="24"/>
        </w:rPr>
        <w:t>jedeća:</w:t>
      </w:r>
    </w:p>
    <w:p w14:paraId="69F18902" w14:textId="1A71E9F4" w:rsidR="003F3B06" w:rsidRPr="00C07BE5" w:rsidRDefault="003F3B06" w:rsidP="003F3B06">
      <w:pPr>
        <w:pStyle w:val="ListParagraph"/>
        <w:numPr>
          <w:ilvl w:val="0"/>
          <w:numId w:val="9"/>
        </w:numPr>
        <w:spacing w:after="120"/>
        <w:ind w:left="1213" w:right="0"/>
        <w:rPr>
          <w:rFonts w:cs="Times New Roman"/>
          <w:szCs w:val="24"/>
        </w:rPr>
      </w:pPr>
      <w:r w:rsidRPr="00C07BE5">
        <w:rPr>
          <w:rFonts w:cs="Times New Roman"/>
          <w:szCs w:val="24"/>
        </w:rPr>
        <w:t>6</w:t>
      </w:r>
      <w:r w:rsidR="00EC4DA3" w:rsidRPr="00C07BE5">
        <w:rPr>
          <w:rFonts w:cs="Times New Roman"/>
          <w:szCs w:val="24"/>
        </w:rPr>
        <w:t>1</w:t>
      </w:r>
      <w:r w:rsidRPr="00C07BE5">
        <w:rPr>
          <w:rFonts w:cs="Times New Roman"/>
          <w:szCs w:val="24"/>
        </w:rPr>
        <w:t>,</w:t>
      </w:r>
      <w:r w:rsidR="00EC4DA3" w:rsidRPr="00C07BE5">
        <w:rPr>
          <w:rFonts w:cs="Times New Roman"/>
          <w:szCs w:val="24"/>
        </w:rPr>
        <w:t>6</w:t>
      </w:r>
      <w:r w:rsidRPr="00C07BE5">
        <w:rPr>
          <w:rFonts w:cs="Times New Roman"/>
          <w:szCs w:val="24"/>
        </w:rPr>
        <w:t xml:space="preserve">% odnosi </w:t>
      </w:r>
      <w:r w:rsidR="00EC4DA3" w:rsidRPr="00C07BE5">
        <w:rPr>
          <w:rFonts w:cs="Times New Roman"/>
          <w:szCs w:val="24"/>
        </w:rPr>
        <w:t xml:space="preserve">se </w:t>
      </w:r>
      <w:r w:rsidRPr="00C07BE5">
        <w:rPr>
          <w:rFonts w:cs="Times New Roman"/>
          <w:szCs w:val="24"/>
        </w:rPr>
        <w:t>na obveznice (na 31.12.2022. je bilo 62,</w:t>
      </w:r>
      <w:r w:rsidR="00EC4DA3" w:rsidRPr="00C07BE5">
        <w:rPr>
          <w:rFonts w:cs="Times New Roman"/>
          <w:szCs w:val="24"/>
        </w:rPr>
        <w:t>8</w:t>
      </w:r>
      <w:r w:rsidRPr="00C07BE5">
        <w:rPr>
          <w:rFonts w:cs="Times New Roman"/>
          <w:szCs w:val="24"/>
        </w:rPr>
        <w:t>%),</w:t>
      </w:r>
    </w:p>
    <w:p w14:paraId="7221FA40" w14:textId="01D6FACE" w:rsidR="003F3B06" w:rsidRPr="00C07BE5" w:rsidRDefault="003F3B06" w:rsidP="003F3B06">
      <w:pPr>
        <w:pStyle w:val="ListParagraph"/>
        <w:numPr>
          <w:ilvl w:val="0"/>
          <w:numId w:val="9"/>
        </w:numPr>
        <w:spacing w:after="120"/>
        <w:ind w:left="1213" w:right="0"/>
        <w:rPr>
          <w:rFonts w:cs="Times New Roman"/>
          <w:szCs w:val="24"/>
        </w:rPr>
      </w:pPr>
      <w:r w:rsidRPr="00C07BE5">
        <w:rPr>
          <w:rFonts w:cs="Times New Roman"/>
          <w:szCs w:val="24"/>
        </w:rPr>
        <w:t>1</w:t>
      </w:r>
      <w:r w:rsidR="00EC4DA3" w:rsidRPr="00C07BE5">
        <w:rPr>
          <w:rFonts w:cs="Times New Roman"/>
          <w:szCs w:val="24"/>
        </w:rPr>
        <w:t>5</w:t>
      </w:r>
      <w:r w:rsidRPr="00C07BE5">
        <w:rPr>
          <w:rFonts w:cs="Times New Roman"/>
          <w:szCs w:val="24"/>
        </w:rPr>
        <w:t>,</w:t>
      </w:r>
      <w:r w:rsidR="00EC4DA3" w:rsidRPr="00C07BE5">
        <w:rPr>
          <w:rFonts w:cs="Times New Roman"/>
          <w:szCs w:val="24"/>
        </w:rPr>
        <w:t>6</w:t>
      </w:r>
      <w:r w:rsidRPr="00C07BE5">
        <w:rPr>
          <w:rFonts w:cs="Times New Roman"/>
          <w:szCs w:val="24"/>
        </w:rPr>
        <w:t xml:space="preserve">% odnosi </w:t>
      </w:r>
      <w:r w:rsidR="00EC4DA3" w:rsidRPr="00C07BE5">
        <w:rPr>
          <w:rFonts w:cs="Times New Roman"/>
          <w:szCs w:val="24"/>
        </w:rPr>
        <w:t xml:space="preserve">se </w:t>
      </w:r>
      <w:r w:rsidRPr="00C07BE5">
        <w:rPr>
          <w:rFonts w:cs="Times New Roman"/>
          <w:szCs w:val="24"/>
        </w:rPr>
        <w:t>na dionice (na 31.12.2022. je bilo 14,8%),</w:t>
      </w:r>
    </w:p>
    <w:p w14:paraId="1C8A5201" w14:textId="6553EE93" w:rsidR="003F3B06" w:rsidRPr="00C07BE5" w:rsidRDefault="003F3B06" w:rsidP="003F3B06">
      <w:pPr>
        <w:pStyle w:val="ListParagraph"/>
        <w:numPr>
          <w:ilvl w:val="0"/>
          <w:numId w:val="9"/>
        </w:numPr>
        <w:spacing w:after="120"/>
        <w:ind w:left="1213" w:right="0"/>
        <w:rPr>
          <w:rFonts w:cs="Times New Roman"/>
          <w:szCs w:val="24"/>
        </w:rPr>
      </w:pPr>
      <w:r w:rsidRPr="00C07BE5">
        <w:rPr>
          <w:rFonts w:cs="Times New Roman"/>
          <w:szCs w:val="24"/>
        </w:rPr>
        <w:t>1</w:t>
      </w:r>
      <w:r w:rsidR="00EC4DA3" w:rsidRPr="00C07BE5">
        <w:rPr>
          <w:rFonts w:cs="Times New Roman"/>
          <w:szCs w:val="24"/>
        </w:rPr>
        <w:t>5</w:t>
      </w:r>
      <w:r w:rsidRPr="00C07BE5">
        <w:rPr>
          <w:rFonts w:cs="Times New Roman"/>
          <w:szCs w:val="24"/>
        </w:rPr>
        <w:t>,</w:t>
      </w:r>
      <w:r w:rsidR="00EC4DA3" w:rsidRPr="00C07BE5">
        <w:rPr>
          <w:rFonts w:cs="Times New Roman"/>
          <w:szCs w:val="24"/>
        </w:rPr>
        <w:t>4</w:t>
      </w:r>
      <w:r w:rsidRPr="00C07BE5">
        <w:rPr>
          <w:rFonts w:cs="Times New Roman"/>
          <w:szCs w:val="24"/>
        </w:rPr>
        <w:t xml:space="preserve">% odnosi </w:t>
      </w:r>
      <w:r w:rsidR="00EC4DA3" w:rsidRPr="00C07BE5">
        <w:rPr>
          <w:rFonts w:cs="Times New Roman"/>
          <w:szCs w:val="24"/>
        </w:rPr>
        <w:t xml:space="preserve">se </w:t>
      </w:r>
      <w:r w:rsidRPr="00C07BE5">
        <w:rPr>
          <w:rFonts w:cs="Times New Roman"/>
          <w:szCs w:val="24"/>
        </w:rPr>
        <w:t>na investicijske fondove (na 31.12.2022. je bilo 13,</w:t>
      </w:r>
      <w:r w:rsidR="00EC4DA3" w:rsidRPr="00C07BE5">
        <w:rPr>
          <w:rFonts w:cs="Times New Roman"/>
          <w:szCs w:val="24"/>
        </w:rPr>
        <w:t>8</w:t>
      </w:r>
      <w:r w:rsidRPr="00C07BE5">
        <w:rPr>
          <w:rFonts w:cs="Times New Roman"/>
          <w:szCs w:val="24"/>
        </w:rPr>
        <w:t>%),</w:t>
      </w:r>
    </w:p>
    <w:p w14:paraId="31D98EB5" w14:textId="404B5590" w:rsidR="00EC4DA3" w:rsidRPr="00C07BE5" w:rsidRDefault="00EC4DA3" w:rsidP="00EC4DA3">
      <w:pPr>
        <w:pStyle w:val="ListParagraph"/>
        <w:numPr>
          <w:ilvl w:val="0"/>
          <w:numId w:val="9"/>
        </w:numPr>
        <w:spacing w:after="120"/>
        <w:ind w:left="1213" w:right="0"/>
        <w:rPr>
          <w:rFonts w:cs="Times New Roman"/>
          <w:szCs w:val="24"/>
        </w:rPr>
      </w:pPr>
      <w:r w:rsidRPr="00C07BE5">
        <w:rPr>
          <w:rFonts w:cs="Times New Roman"/>
          <w:szCs w:val="24"/>
        </w:rPr>
        <w:t>7,3% odnosi se na depozite (na 31.12.2022. je bilo 1,8%).</w:t>
      </w:r>
    </w:p>
    <w:p w14:paraId="0178A172" w14:textId="0B6C9034" w:rsidR="003F3B06" w:rsidRPr="00C07BE5" w:rsidRDefault="00EC4DA3" w:rsidP="003F3B06">
      <w:pPr>
        <w:pStyle w:val="ListParagraph"/>
        <w:numPr>
          <w:ilvl w:val="0"/>
          <w:numId w:val="9"/>
        </w:numPr>
        <w:spacing w:after="120"/>
        <w:ind w:left="1213" w:right="0"/>
        <w:rPr>
          <w:rFonts w:cs="Times New Roman"/>
          <w:szCs w:val="24"/>
        </w:rPr>
      </w:pPr>
      <w:r w:rsidRPr="00C07BE5">
        <w:rPr>
          <w:rFonts w:cs="Times New Roman"/>
          <w:szCs w:val="24"/>
        </w:rPr>
        <w:t>0,1</w:t>
      </w:r>
      <w:r w:rsidR="003F3B06" w:rsidRPr="00C07BE5">
        <w:rPr>
          <w:rFonts w:cs="Times New Roman"/>
          <w:szCs w:val="24"/>
        </w:rPr>
        <w:t xml:space="preserve">% odnosi </w:t>
      </w:r>
      <w:r w:rsidRPr="00C07BE5">
        <w:rPr>
          <w:rFonts w:cs="Times New Roman"/>
          <w:szCs w:val="24"/>
        </w:rPr>
        <w:t xml:space="preserve">se </w:t>
      </w:r>
      <w:r w:rsidR="003F3B06" w:rsidRPr="00C07BE5">
        <w:rPr>
          <w:rFonts w:cs="Times New Roman"/>
          <w:szCs w:val="24"/>
        </w:rPr>
        <w:t xml:space="preserve">na novčani račun (na 31.12.2022. je bilo </w:t>
      </w:r>
      <w:r w:rsidRPr="00C07BE5">
        <w:rPr>
          <w:rFonts w:cs="Times New Roman"/>
          <w:szCs w:val="24"/>
        </w:rPr>
        <w:t>6</w:t>
      </w:r>
      <w:r w:rsidR="003F3B06" w:rsidRPr="00C07BE5">
        <w:rPr>
          <w:rFonts w:cs="Times New Roman"/>
          <w:szCs w:val="24"/>
        </w:rPr>
        <w:t>,8%).</w:t>
      </w:r>
    </w:p>
    <w:p w14:paraId="2E10BBCC" w14:textId="5BC3A7E8" w:rsidR="0077161B" w:rsidRPr="00C07BE5" w:rsidRDefault="00497298" w:rsidP="0077161B">
      <w:pPr>
        <w:rPr>
          <w:rFonts w:cs="Times New Roman"/>
          <w:szCs w:val="24"/>
        </w:rPr>
      </w:pPr>
      <w:r w:rsidRPr="00C07BE5">
        <w:rPr>
          <w:rFonts w:cs="Times New Roman"/>
          <w:szCs w:val="24"/>
        </w:rPr>
        <w:t>U 202</w:t>
      </w:r>
      <w:r w:rsidR="00AE2F1C" w:rsidRPr="00C07BE5">
        <w:rPr>
          <w:rFonts w:cs="Times New Roman"/>
          <w:szCs w:val="24"/>
        </w:rPr>
        <w:t>3</w:t>
      </w:r>
      <w:r w:rsidRPr="00C07BE5">
        <w:rPr>
          <w:rFonts w:cs="Times New Roman"/>
          <w:szCs w:val="24"/>
        </w:rPr>
        <w:t xml:space="preserve">. godini </w:t>
      </w:r>
      <w:r w:rsidR="000D7E76" w:rsidRPr="00C07BE5">
        <w:rPr>
          <w:rFonts w:cs="Times New Roman"/>
          <w:szCs w:val="24"/>
        </w:rPr>
        <w:t>n</w:t>
      </w:r>
      <w:r w:rsidRPr="00C07BE5">
        <w:rPr>
          <w:rFonts w:cs="Times New Roman"/>
          <w:szCs w:val="24"/>
        </w:rPr>
        <w:t>ajveća ulaganja</w:t>
      </w:r>
      <w:r w:rsidR="000D7E76" w:rsidRPr="00C07BE5">
        <w:rPr>
          <w:rFonts w:cs="Times New Roman"/>
          <w:szCs w:val="24"/>
        </w:rPr>
        <w:t xml:space="preserve"> u</w:t>
      </w:r>
      <w:r w:rsidRPr="00C07BE5">
        <w:rPr>
          <w:rFonts w:cs="Times New Roman"/>
          <w:szCs w:val="24"/>
        </w:rPr>
        <w:t xml:space="preserve"> </w:t>
      </w:r>
      <w:r w:rsidR="000D7E76" w:rsidRPr="00C07BE5">
        <w:rPr>
          <w:rFonts w:cs="Times New Roman"/>
          <w:b/>
          <w:bCs/>
          <w:szCs w:val="24"/>
        </w:rPr>
        <w:t>nefinancijsku imovinu</w:t>
      </w:r>
      <w:r w:rsidR="000D7E76" w:rsidRPr="00C07BE5">
        <w:rPr>
          <w:rFonts w:cs="Times New Roman"/>
          <w:szCs w:val="24"/>
        </w:rPr>
        <w:t xml:space="preserve"> </w:t>
      </w:r>
      <w:r w:rsidR="00F0754A" w:rsidRPr="00C07BE5">
        <w:rPr>
          <w:rFonts w:cs="Times New Roman"/>
          <w:szCs w:val="24"/>
        </w:rPr>
        <w:t>odnosila su</w:t>
      </w:r>
      <w:r w:rsidRPr="00C07BE5">
        <w:rPr>
          <w:rFonts w:cs="Times New Roman"/>
          <w:szCs w:val="24"/>
        </w:rPr>
        <w:t xml:space="preserve"> se na uspostavu Centra za zbrinjavanje radioaktivnog otpada za što je u </w:t>
      </w:r>
      <w:r w:rsidR="0077161B" w:rsidRPr="00C07BE5">
        <w:rPr>
          <w:rFonts w:cs="Times New Roman"/>
          <w:szCs w:val="24"/>
        </w:rPr>
        <w:t xml:space="preserve">promatranom </w:t>
      </w:r>
      <w:r w:rsidRPr="00C07BE5">
        <w:rPr>
          <w:rFonts w:cs="Times New Roman"/>
          <w:szCs w:val="24"/>
        </w:rPr>
        <w:t xml:space="preserve">razdoblju </w:t>
      </w:r>
      <w:r w:rsidR="0077161B" w:rsidRPr="00C07BE5">
        <w:rPr>
          <w:rFonts w:cs="Times New Roman"/>
          <w:szCs w:val="24"/>
        </w:rPr>
        <w:t xml:space="preserve">utrošeno </w:t>
      </w:r>
      <w:r w:rsidR="00377ED8" w:rsidRPr="00C07BE5">
        <w:rPr>
          <w:rFonts w:cs="Times New Roman"/>
          <w:szCs w:val="24"/>
        </w:rPr>
        <w:t xml:space="preserve">528.000 </w:t>
      </w:r>
      <w:r w:rsidR="00711DBA" w:rsidRPr="00C07BE5">
        <w:rPr>
          <w:rFonts w:cs="Times New Roman"/>
          <w:szCs w:val="24"/>
        </w:rPr>
        <w:t xml:space="preserve">EUR. </w:t>
      </w:r>
      <w:r w:rsidR="0077161B" w:rsidRPr="00C07BE5">
        <w:rPr>
          <w:rFonts w:cs="Times New Roman"/>
          <w:szCs w:val="24"/>
        </w:rPr>
        <w:t xml:space="preserve">Navedeni iznos </w:t>
      </w:r>
      <w:r w:rsidR="00F0754A" w:rsidRPr="00C07BE5">
        <w:rPr>
          <w:rFonts w:cs="Times New Roman"/>
          <w:szCs w:val="24"/>
        </w:rPr>
        <w:t xml:space="preserve">utrošen je za </w:t>
      </w:r>
      <w:r w:rsidR="0077161B" w:rsidRPr="00C07BE5">
        <w:rPr>
          <w:rFonts w:cs="Times New Roman"/>
          <w:szCs w:val="24"/>
        </w:rPr>
        <w:t>provedbu istražnih radova za potrebe projektiranja</w:t>
      </w:r>
      <w:r w:rsidRPr="00C07BE5">
        <w:rPr>
          <w:rFonts w:cs="Times New Roman"/>
          <w:szCs w:val="24"/>
        </w:rPr>
        <w:t xml:space="preserve"> Centra</w:t>
      </w:r>
      <w:r w:rsidR="00BF473A" w:rsidRPr="00C07BE5">
        <w:rPr>
          <w:rFonts w:cs="Times New Roman"/>
          <w:szCs w:val="24"/>
        </w:rPr>
        <w:t xml:space="preserve"> i nove lokacije Upravne zgrade</w:t>
      </w:r>
      <w:r w:rsidR="0077161B" w:rsidRPr="00C07BE5">
        <w:rPr>
          <w:rFonts w:cs="Times New Roman"/>
          <w:szCs w:val="24"/>
        </w:rPr>
        <w:t>, izradu projektne dokumentacije</w:t>
      </w:r>
      <w:r w:rsidR="00BF473A" w:rsidRPr="00C07BE5">
        <w:rPr>
          <w:rFonts w:cs="Times New Roman"/>
          <w:szCs w:val="24"/>
        </w:rPr>
        <w:t xml:space="preserve"> (idejnog projekta, analize sigurnosti i studije utjecaja na okoliš)</w:t>
      </w:r>
      <w:r w:rsidR="0077161B" w:rsidRPr="00C07BE5">
        <w:rPr>
          <w:rFonts w:cs="Times New Roman"/>
          <w:szCs w:val="24"/>
        </w:rPr>
        <w:t xml:space="preserve">, </w:t>
      </w:r>
      <w:r w:rsidR="00711DBA" w:rsidRPr="00C07BE5">
        <w:rPr>
          <w:rFonts w:cs="Times New Roman"/>
          <w:szCs w:val="24"/>
        </w:rPr>
        <w:t xml:space="preserve">isporuku, postavljanje i puštanje u rad NaI senzora, </w:t>
      </w:r>
      <w:r w:rsidR="00BF473A" w:rsidRPr="00C07BE5">
        <w:rPr>
          <w:rFonts w:cs="Times New Roman"/>
          <w:szCs w:val="24"/>
        </w:rPr>
        <w:t xml:space="preserve">te </w:t>
      </w:r>
      <w:r w:rsidR="0077161B" w:rsidRPr="00C07BE5">
        <w:rPr>
          <w:rFonts w:cs="Times New Roman"/>
          <w:szCs w:val="24"/>
        </w:rPr>
        <w:t>poslove razminiranja za potrebe istraživanja i mjerenja</w:t>
      </w:r>
      <w:r w:rsidR="00BF11B0" w:rsidRPr="00C07BE5">
        <w:rPr>
          <w:rFonts w:cs="Times New Roman"/>
          <w:szCs w:val="24"/>
        </w:rPr>
        <w:t xml:space="preserve">. </w:t>
      </w:r>
    </w:p>
    <w:p w14:paraId="760C3C91" w14:textId="307286BE" w:rsidR="00980B31" w:rsidRPr="00C07BE5" w:rsidRDefault="00980B31" w:rsidP="00980B31">
      <w:pPr>
        <w:pStyle w:val="Caption"/>
        <w:keepNext/>
        <w:rPr>
          <w:rFonts w:cs="Times New Roman"/>
          <w:i w:val="0"/>
          <w:iCs w:val="0"/>
          <w:sz w:val="22"/>
          <w:szCs w:val="22"/>
        </w:rPr>
      </w:pPr>
      <w:bookmarkStart w:id="116" w:name="_Toc158991963"/>
      <w:r w:rsidRPr="00C07BE5">
        <w:rPr>
          <w:rFonts w:cs="Times New Roman"/>
          <w:i w:val="0"/>
          <w:iCs w:val="0"/>
          <w:sz w:val="22"/>
          <w:szCs w:val="22"/>
        </w:rPr>
        <w:t xml:space="preserve">Tablica </w:t>
      </w:r>
      <w:r w:rsidRPr="00C07BE5">
        <w:rPr>
          <w:rFonts w:cs="Times New Roman"/>
          <w:i w:val="0"/>
          <w:iCs w:val="0"/>
          <w:sz w:val="22"/>
          <w:szCs w:val="22"/>
        </w:rPr>
        <w:fldChar w:fldCharType="begin"/>
      </w:r>
      <w:r w:rsidRPr="00C07BE5">
        <w:rPr>
          <w:rFonts w:cs="Times New Roman"/>
          <w:i w:val="0"/>
          <w:iCs w:val="0"/>
          <w:sz w:val="22"/>
          <w:szCs w:val="22"/>
        </w:rPr>
        <w:instrText xml:space="preserve"> SEQ Tablica \* ARABIC </w:instrText>
      </w:r>
      <w:r w:rsidRPr="00C07BE5">
        <w:rPr>
          <w:rFonts w:cs="Times New Roman"/>
          <w:i w:val="0"/>
          <w:iCs w:val="0"/>
          <w:sz w:val="22"/>
          <w:szCs w:val="22"/>
        </w:rPr>
        <w:fldChar w:fldCharType="separate"/>
      </w:r>
      <w:r w:rsidR="00A050EE" w:rsidRPr="00C07BE5">
        <w:rPr>
          <w:rFonts w:cs="Times New Roman"/>
          <w:i w:val="0"/>
          <w:iCs w:val="0"/>
          <w:noProof/>
          <w:sz w:val="22"/>
          <w:szCs w:val="22"/>
        </w:rPr>
        <w:t>6</w:t>
      </w:r>
      <w:r w:rsidRPr="00C07BE5">
        <w:rPr>
          <w:rFonts w:cs="Times New Roman"/>
          <w:i w:val="0"/>
          <w:iCs w:val="0"/>
          <w:sz w:val="22"/>
          <w:szCs w:val="22"/>
        </w:rPr>
        <w:fldChar w:fldCharType="end"/>
      </w:r>
      <w:r w:rsidRPr="00C07BE5">
        <w:rPr>
          <w:rFonts w:cs="Times New Roman"/>
          <w:i w:val="0"/>
          <w:iCs w:val="0"/>
          <w:sz w:val="22"/>
          <w:szCs w:val="22"/>
        </w:rPr>
        <w:t xml:space="preserve"> - Pregled ulaganja u nefinancijsku imovinu tijekom 2023. godine</w:t>
      </w:r>
      <w:bookmarkEnd w:id="116"/>
    </w:p>
    <w:p w14:paraId="4E7C7CE9" w14:textId="77777777" w:rsidR="00980B31" w:rsidRPr="00C07BE5" w:rsidRDefault="00980B31" w:rsidP="00980B31">
      <w:r w:rsidRPr="00C07BE5">
        <w:rPr>
          <w:noProof/>
        </w:rPr>
        <w:drawing>
          <wp:inline distT="0" distB="0" distL="0" distR="0" wp14:anchorId="18D0E8C3" wp14:editId="217E4CD2">
            <wp:extent cx="6106795" cy="2298065"/>
            <wp:effectExtent l="0" t="0" r="8255" b="0"/>
            <wp:docPr id="76108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6795" cy="2298065"/>
                    </a:xfrm>
                    <a:prstGeom prst="rect">
                      <a:avLst/>
                    </a:prstGeom>
                    <a:noFill/>
                    <a:ln>
                      <a:noFill/>
                    </a:ln>
                  </pic:spPr>
                </pic:pic>
              </a:graphicData>
            </a:graphic>
          </wp:inline>
        </w:drawing>
      </w:r>
    </w:p>
    <w:p w14:paraId="7ED91CE8" w14:textId="77777777" w:rsidR="00AB7EA2" w:rsidRPr="00C07BE5" w:rsidRDefault="00AB7EA2" w:rsidP="00423CDD"/>
    <w:p w14:paraId="7B288BFB" w14:textId="77777777" w:rsidR="00AB7EA2" w:rsidRPr="00C07BE5" w:rsidRDefault="00AB7EA2" w:rsidP="00423CDD"/>
    <w:p w14:paraId="5772A257" w14:textId="77777777" w:rsidR="00AB7EA2" w:rsidRPr="00C07BE5" w:rsidRDefault="00AB7EA2" w:rsidP="00423CDD"/>
    <w:p w14:paraId="0EF5996E" w14:textId="77777777" w:rsidR="00940133" w:rsidRPr="00C07BE5" w:rsidRDefault="00940133" w:rsidP="00423CDD"/>
    <w:p w14:paraId="17A957F4" w14:textId="0438DF35" w:rsidR="00423CDD" w:rsidRPr="00C07BE5" w:rsidRDefault="00423CDD" w:rsidP="001C1104">
      <w:pPr>
        <w:pStyle w:val="Heading1"/>
      </w:pPr>
      <w:r w:rsidRPr="00C07BE5">
        <w:br w:type="page"/>
      </w:r>
      <w:bookmarkStart w:id="117" w:name="_Toc80697110"/>
      <w:bookmarkStart w:id="118" w:name="_Toc127350270"/>
      <w:bookmarkStart w:id="119" w:name="_Toc158992047"/>
      <w:bookmarkStart w:id="120" w:name="_Hlk80600353"/>
      <w:r w:rsidR="00982FEE" w:rsidRPr="00C07BE5">
        <w:lastRenderedPageBreak/>
        <w:t>Zaključak</w:t>
      </w:r>
      <w:bookmarkEnd w:id="117"/>
      <w:bookmarkEnd w:id="118"/>
      <w:bookmarkEnd w:id="119"/>
    </w:p>
    <w:p w14:paraId="3CE14DF2" w14:textId="19813AE1" w:rsidR="00410333" w:rsidRPr="00C07BE5" w:rsidRDefault="00410333" w:rsidP="008D75A1">
      <w:pPr>
        <w:rPr>
          <w:rFonts w:cs="Times New Roman"/>
          <w:szCs w:val="24"/>
        </w:rPr>
      </w:pPr>
      <w:r w:rsidRPr="00C07BE5">
        <w:rPr>
          <w:rFonts w:cs="Times New Roman"/>
          <w:szCs w:val="24"/>
        </w:rPr>
        <w:t>Na globalnim i domaćim financijskim tržištima 2023. godina protekla je u volatilnom okruženju. Iako očekivanja s početka godine nisu bila obećavajuća, kombinacija boljeg</w:t>
      </w:r>
      <w:r w:rsidR="00B36155">
        <w:rPr>
          <w:rFonts w:cs="Times New Roman"/>
          <w:szCs w:val="24"/>
        </w:rPr>
        <w:t xml:space="preserve"> </w:t>
      </w:r>
      <w:r w:rsidR="00B36155" w:rsidRPr="00C07BE5">
        <w:rPr>
          <w:rFonts w:cs="Times New Roman"/>
          <w:szCs w:val="24"/>
        </w:rPr>
        <w:t>gospodarskog rasta</w:t>
      </w:r>
      <w:r w:rsidRPr="00C07BE5">
        <w:rPr>
          <w:rFonts w:cs="Times New Roman"/>
          <w:szCs w:val="24"/>
        </w:rPr>
        <w:t>, rasta produktivnosti implementacijom umjetne inteligencije te očekivanog početka ciklusa smanjenja kamatnih stopa u 2024. godini omogućili su rast cijena dionica i obveznica. Dionički indeks Zagrebačke burze Crobex u 2023. godini ostvario je visoki rast od 28% nadmašivši izvedbu indeksa regije srednje i istočne Europe, ali i mnogih zapadnih indeksa.</w:t>
      </w:r>
    </w:p>
    <w:p w14:paraId="2A351658" w14:textId="71566FCB" w:rsidR="008D75A1" w:rsidRPr="00C07BE5" w:rsidRDefault="00F23735" w:rsidP="008D75A1">
      <w:pPr>
        <w:rPr>
          <w:rFonts w:cs="Times New Roman"/>
          <w:szCs w:val="24"/>
        </w:rPr>
      </w:pPr>
      <w:r w:rsidRPr="00C07BE5">
        <w:rPr>
          <w:rFonts w:cs="Times New Roman"/>
          <w:szCs w:val="24"/>
        </w:rPr>
        <w:t>Uslijed svega navedenoga, Fond je u 202</w:t>
      </w:r>
      <w:r w:rsidR="00410333" w:rsidRPr="00C07BE5">
        <w:rPr>
          <w:rFonts w:cs="Times New Roman"/>
          <w:szCs w:val="24"/>
        </w:rPr>
        <w:t>3</w:t>
      </w:r>
      <w:r w:rsidRPr="00C07BE5">
        <w:rPr>
          <w:rFonts w:cs="Times New Roman"/>
          <w:szCs w:val="24"/>
        </w:rPr>
        <w:t xml:space="preserve">. godini ostvario </w:t>
      </w:r>
      <w:r w:rsidR="00F70182" w:rsidRPr="00C07BE5">
        <w:rPr>
          <w:rFonts w:cs="Times New Roman"/>
          <w:szCs w:val="24"/>
        </w:rPr>
        <w:t xml:space="preserve">neto </w:t>
      </w:r>
      <w:r w:rsidR="0091741A">
        <w:rPr>
          <w:rFonts w:cs="Times New Roman"/>
          <w:szCs w:val="24"/>
        </w:rPr>
        <w:t>rezultat</w:t>
      </w:r>
      <w:r w:rsidR="00F70182" w:rsidRPr="00C07BE5">
        <w:rPr>
          <w:rFonts w:cs="Times New Roman"/>
          <w:szCs w:val="24"/>
        </w:rPr>
        <w:t xml:space="preserve"> u iznosu</w:t>
      </w:r>
      <w:r w:rsidRPr="00C07BE5">
        <w:rPr>
          <w:rFonts w:cs="Times New Roman"/>
          <w:szCs w:val="24"/>
        </w:rPr>
        <w:t xml:space="preserve"> od </w:t>
      </w:r>
      <w:r w:rsidR="00F70182" w:rsidRPr="00C07BE5">
        <w:rPr>
          <w:rFonts w:cs="Times New Roman"/>
          <w:szCs w:val="24"/>
        </w:rPr>
        <w:t>32,4</w:t>
      </w:r>
      <w:r w:rsidRPr="00C07BE5">
        <w:rPr>
          <w:rFonts w:cs="Times New Roman"/>
          <w:szCs w:val="24"/>
        </w:rPr>
        <w:t xml:space="preserve"> mil. </w:t>
      </w:r>
      <w:r w:rsidR="00F70182" w:rsidRPr="00C07BE5">
        <w:rPr>
          <w:rFonts w:cs="Times New Roman"/>
          <w:szCs w:val="24"/>
        </w:rPr>
        <w:t xml:space="preserve">EUR, </w:t>
      </w:r>
      <w:r w:rsidRPr="00C07BE5">
        <w:rPr>
          <w:rFonts w:cs="Times New Roman"/>
          <w:szCs w:val="24"/>
        </w:rPr>
        <w:t>odnosno</w:t>
      </w:r>
      <w:r w:rsidR="00F70182" w:rsidRPr="00C07BE5">
        <w:rPr>
          <w:rFonts w:cs="Times New Roman"/>
          <w:szCs w:val="24"/>
        </w:rPr>
        <w:t xml:space="preserve"> prinos od</w:t>
      </w:r>
      <w:r w:rsidRPr="00C07BE5">
        <w:rPr>
          <w:rFonts w:cs="Times New Roman"/>
          <w:szCs w:val="24"/>
        </w:rPr>
        <w:t xml:space="preserve"> </w:t>
      </w:r>
      <w:r w:rsidR="00F70182" w:rsidRPr="00C07BE5">
        <w:rPr>
          <w:rFonts w:cs="Times New Roman"/>
          <w:szCs w:val="24"/>
        </w:rPr>
        <w:t>7,</w:t>
      </w:r>
      <w:r w:rsidR="00EC4DA3" w:rsidRPr="00C07BE5">
        <w:rPr>
          <w:rFonts w:cs="Times New Roman"/>
          <w:szCs w:val="24"/>
        </w:rPr>
        <w:t>79</w:t>
      </w:r>
      <w:r w:rsidRPr="00C07BE5">
        <w:rPr>
          <w:rFonts w:cs="Times New Roman"/>
          <w:szCs w:val="24"/>
        </w:rPr>
        <w:t>%. Za usporedbu, neto prinos mirovinskih fondova je bio u rasponu od 4,</w:t>
      </w:r>
      <w:r w:rsidR="00F70182" w:rsidRPr="00C07BE5">
        <w:rPr>
          <w:rFonts w:cs="Times New Roman"/>
          <w:szCs w:val="24"/>
        </w:rPr>
        <w:t>00</w:t>
      </w:r>
      <w:r w:rsidRPr="00C07BE5">
        <w:rPr>
          <w:rFonts w:cs="Times New Roman"/>
          <w:szCs w:val="24"/>
        </w:rPr>
        <w:t xml:space="preserve">% (MIREX </w:t>
      </w:r>
      <w:r w:rsidR="00F70182" w:rsidRPr="00C07BE5">
        <w:rPr>
          <w:rFonts w:cs="Times New Roman"/>
          <w:szCs w:val="24"/>
        </w:rPr>
        <w:t>C</w:t>
      </w:r>
      <w:r w:rsidRPr="00C07BE5">
        <w:rPr>
          <w:rFonts w:cs="Times New Roman"/>
          <w:szCs w:val="24"/>
        </w:rPr>
        <w:t xml:space="preserve">), preko </w:t>
      </w:r>
      <w:r w:rsidR="00F70182" w:rsidRPr="00C07BE5">
        <w:rPr>
          <w:rFonts w:cs="Times New Roman"/>
          <w:szCs w:val="24"/>
        </w:rPr>
        <w:t>10</w:t>
      </w:r>
      <w:r w:rsidRPr="00C07BE5">
        <w:rPr>
          <w:rFonts w:cs="Times New Roman"/>
          <w:szCs w:val="24"/>
        </w:rPr>
        <w:t>,</w:t>
      </w:r>
      <w:r w:rsidR="00F70182" w:rsidRPr="00C07BE5">
        <w:rPr>
          <w:rFonts w:cs="Times New Roman"/>
          <w:szCs w:val="24"/>
        </w:rPr>
        <w:t>19</w:t>
      </w:r>
      <w:r w:rsidRPr="00C07BE5">
        <w:rPr>
          <w:rFonts w:cs="Times New Roman"/>
          <w:szCs w:val="24"/>
        </w:rPr>
        <w:t xml:space="preserve">% (MIREX B), do </w:t>
      </w:r>
      <w:r w:rsidR="00F70182" w:rsidRPr="00C07BE5">
        <w:rPr>
          <w:rFonts w:cs="Times New Roman"/>
          <w:szCs w:val="24"/>
        </w:rPr>
        <w:t>14</w:t>
      </w:r>
      <w:r w:rsidRPr="00C07BE5">
        <w:rPr>
          <w:rFonts w:cs="Times New Roman"/>
          <w:szCs w:val="24"/>
        </w:rPr>
        <w:t>,</w:t>
      </w:r>
      <w:r w:rsidR="00F70182" w:rsidRPr="00C07BE5">
        <w:rPr>
          <w:rFonts w:cs="Times New Roman"/>
          <w:szCs w:val="24"/>
        </w:rPr>
        <w:t>88</w:t>
      </w:r>
      <w:r w:rsidRPr="00C07BE5">
        <w:rPr>
          <w:rFonts w:cs="Times New Roman"/>
          <w:szCs w:val="24"/>
        </w:rPr>
        <w:t xml:space="preserve">% (MIREX </w:t>
      </w:r>
      <w:r w:rsidR="00F70182" w:rsidRPr="00C07BE5">
        <w:rPr>
          <w:rFonts w:cs="Times New Roman"/>
          <w:szCs w:val="24"/>
        </w:rPr>
        <w:t>A</w:t>
      </w:r>
      <w:r w:rsidRPr="00C07BE5">
        <w:rPr>
          <w:rFonts w:cs="Times New Roman"/>
          <w:szCs w:val="24"/>
        </w:rPr>
        <w:t>).</w:t>
      </w:r>
    </w:p>
    <w:bookmarkEnd w:id="120"/>
    <w:p w14:paraId="1BE51EAC" w14:textId="4AB72433" w:rsidR="001A23B8" w:rsidRPr="00C07BE5" w:rsidRDefault="001A23B8" w:rsidP="001A23B8">
      <w:pPr>
        <w:rPr>
          <w:rFonts w:cs="Times New Roman"/>
          <w:szCs w:val="24"/>
        </w:rPr>
      </w:pPr>
      <w:r w:rsidRPr="00C07BE5">
        <w:rPr>
          <w:rFonts w:cs="Times New Roman"/>
          <w:szCs w:val="24"/>
        </w:rPr>
        <w:t>U okviru priprema 4. Revizije programa razgradnje NEK i Programa odlaganja RAO-a i ING-a NEK-a u suradnji s ARAO</w:t>
      </w:r>
      <w:r w:rsidR="009D7DA3">
        <w:rPr>
          <w:rFonts w:cs="Times New Roman"/>
          <w:szCs w:val="24"/>
        </w:rPr>
        <w:t xml:space="preserve">, pokrenuta je </w:t>
      </w:r>
      <w:r w:rsidR="00F75E67" w:rsidRPr="00C07BE5">
        <w:rPr>
          <w:rFonts w:cs="Times New Roman"/>
          <w:szCs w:val="24"/>
        </w:rPr>
        <w:t>izrada</w:t>
      </w:r>
      <w:r w:rsidRPr="00C07BE5">
        <w:rPr>
          <w:rFonts w:cs="Times New Roman"/>
          <w:szCs w:val="24"/>
        </w:rPr>
        <w:t xml:space="preserve"> </w:t>
      </w:r>
      <w:r w:rsidR="009D7DA3">
        <w:rPr>
          <w:rFonts w:cs="Times New Roman"/>
          <w:szCs w:val="24"/>
        </w:rPr>
        <w:t xml:space="preserve">svih </w:t>
      </w:r>
      <w:r w:rsidRPr="00C07BE5">
        <w:rPr>
          <w:rFonts w:cs="Times New Roman"/>
          <w:szCs w:val="24"/>
        </w:rPr>
        <w:t>potpornih studija</w:t>
      </w:r>
      <w:r w:rsidR="009E55AA" w:rsidRPr="00C07BE5">
        <w:rPr>
          <w:rFonts w:cs="Times New Roman"/>
          <w:szCs w:val="24"/>
        </w:rPr>
        <w:t xml:space="preserve"> </w:t>
      </w:r>
      <w:r w:rsidR="009D7DA3">
        <w:rPr>
          <w:rFonts w:cs="Times New Roman"/>
          <w:szCs w:val="24"/>
        </w:rPr>
        <w:t xml:space="preserve">potrebnih za </w:t>
      </w:r>
      <w:r w:rsidR="003973C0">
        <w:rPr>
          <w:rFonts w:cs="Times New Roman"/>
          <w:szCs w:val="24"/>
        </w:rPr>
        <w:t xml:space="preserve">njenu </w:t>
      </w:r>
      <w:r w:rsidR="009D7DA3">
        <w:rPr>
          <w:rFonts w:cs="Times New Roman"/>
          <w:szCs w:val="24"/>
        </w:rPr>
        <w:t>izradu</w:t>
      </w:r>
      <w:r w:rsidRPr="00C07BE5">
        <w:rPr>
          <w:rFonts w:cs="Times New Roman"/>
          <w:szCs w:val="24"/>
        </w:rPr>
        <w:t xml:space="preserve">. Za potrebe provedbe 1. faze </w:t>
      </w:r>
      <w:r w:rsidR="009D7DA3">
        <w:rPr>
          <w:rFonts w:cs="Times New Roman"/>
          <w:szCs w:val="24"/>
        </w:rPr>
        <w:t xml:space="preserve">preuzimanja </w:t>
      </w:r>
      <w:r w:rsidRPr="00C07BE5">
        <w:rPr>
          <w:rFonts w:cs="Times New Roman"/>
          <w:szCs w:val="24"/>
        </w:rPr>
        <w:t xml:space="preserve">NSRAO iz NEK-a </w:t>
      </w:r>
      <w:r w:rsidR="00BD4FEC" w:rsidRPr="00C07BE5">
        <w:rPr>
          <w:rFonts w:cs="Times New Roman"/>
          <w:szCs w:val="24"/>
        </w:rPr>
        <w:t xml:space="preserve"> proveden</w:t>
      </w:r>
      <w:r w:rsidR="009D7DA3">
        <w:rPr>
          <w:rFonts w:cs="Times New Roman"/>
          <w:szCs w:val="24"/>
        </w:rPr>
        <w:t xml:space="preserve">i su postupci javnih </w:t>
      </w:r>
      <w:r w:rsidRPr="00C07BE5">
        <w:rPr>
          <w:rFonts w:cs="Times New Roman"/>
          <w:szCs w:val="24"/>
        </w:rPr>
        <w:t>nabav</w:t>
      </w:r>
      <w:r w:rsidR="009D7DA3">
        <w:rPr>
          <w:rFonts w:cs="Times New Roman"/>
          <w:szCs w:val="24"/>
        </w:rPr>
        <w:t>a</w:t>
      </w:r>
      <w:r w:rsidRPr="00C07BE5">
        <w:rPr>
          <w:rFonts w:cs="Times New Roman"/>
          <w:szCs w:val="24"/>
        </w:rPr>
        <w:t xml:space="preserve"> </w:t>
      </w:r>
      <w:r w:rsidR="009E55AA" w:rsidRPr="00C07BE5">
        <w:rPr>
          <w:rFonts w:cs="Times New Roman"/>
          <w:szCs w:val="24"/>
        </w:rPr>
        <w:t>odvoz</w:t>
      </w:r>
      <w:r w:rsidR="009D7DA3">
        <w:rPr>
          <w:rFonts w:cs="Times New Roman"/>
          <w:szCs w:val="24"/>
        </w:rPr>
        <w:t>a</w:t>
      </w:r>
      <w:r w:rsidR="009E55AA" w:rsidRPr="00C07BE5">
        <w:rPr>
          <w:rFonts w:cs="Times New Roman"/>
          <w:szCs w:val="24"/>
        </w:rPr>
        <w:t xml:space="preserve"> </w:t>
      </w:r>
      <w:r w:rsidR="009D7DA3">
        <w:rPr>
          <w:rFonts w:cs="Times New Roman"/>
          <w:szCs w:val="24"/>
        </w:rPr>
        <w:t xml:space="preserve">20% RAO iz NEK u treću zemlju i </w:t>
      </w:r>
      <w:r w:rsidR="00BD4FEC" w:rsidRPr="00C07BE5">
        <w:rPr>
          <w:rFonts w:cs="Times New Roman"/>
          <w:szCs w:val="24"/>
        </w:rPr>
        <w:t xml:space="preserve">isporuku </w:t>
      </w:r>
      <w:r w:rsidR="009D7DA3">
        <w:rPr>
          <w:rFonts w:cs="Times New Roman"/>
          <w:szCs w:val="24"/>
        </w:rPr>
        <w:t xml:space="preserve">transportnih </w:t>
      </w:r>
      <w:r w:rsidR="00BD4FEC" w:rsidRPr="00C07BE5">
        <w:rPr>
          <w:rFonts w:cs="Times New Roman"/>
          <w:szCs w:val="24"/>
        </w:rPr>
        <w:t>kontejnera</w:t>
      </w:r>
      <w:r w:rsidR="009D7DA3">
        <w:rPr>
          <w:rFonts w:cs="Times New Roman"/>
          <w:szCs w:val="24"/>
        </w:rPr>
        <w:t xml:space="preserve"> potrebnih za prijevoz</w:t>
      </w:r>
      <w:r w:rsidR="009E55AA" w:rsidRPr="00C07BE5">
        <w:rPr>
          <w:rFonts w:cs="Times New Roman"/>
          <w:szCs w:val="24"/>
        </w:rPr>
        <w:t xml:space="preserve">, ali </w:t>
      </w:r>
      <w:r w:rsidR="00BD4FEC" w:rsidRPr="00C07BE5">
        <w:rPr>
          <w:rFonts w:cs="Times New Roman"/>
          <w:szCs w:val="24"/>
        </w:rPr>
        <w:t>su</w:t>
      </w:r>
      <w:r w:rsidR="009E55AA" w:rsidRPr="00C07BE5">
        <w:rPr>
          <w:rFonts w:cs="Times New Roman"/>
          <w:szCs w:val="24"/>
        </w:rPr>
        <w:t xml:space="preserve"> </w:t>
      </w:r>
      <w:r w:rsidR="009D7DA3">
        <w:rPr>
          <w:rFonts w:cs="Times New Roman"/>
          <w:szCs w:val="24"/>
        </w:rPr>
        <w:t xml:space="preserve">temeljem odluke Međudržavnog povjerenstva </w:t>
      </w:r>
      <w:r w:rsidR="009E55AA" w:rsidRPr="00C07BE5">
        <w:rPr>
          <w:rFonts w:cs="Times New Roman"/>
          <w:szCs w:val="24"/>
        </w:rPr>
        <w:t>natječaj</w:t>
      </w:r>
      <w:r w:rsidR="00BD4FEC" w:rsidRPr="00C07BE5">
        <w:rPr>
          <w:rFonts w:cs="Times New Roman"/>
          <w:szCs w:val="24"/>
        </w:rPr>
        <w:t>i</w:t>
      </w:r>
      <w:r w:rsidR="009E55AA" w:rsidRPr="00C07BE5">
        <w:rPr>
          <w:rFonts w:cs="Times New Roman"/>
          <w:szCs w:val="24"/>
        </w:rPr>
        <w:t xml:space="preserve"> poništen</w:t>
      </w:r>
      <w:r w:rsidR="00BD4FEC" w:rsidRPr="00C07BE5">
        <w:rPr>
          <w:rFonts w:cs="Times New Roman"/>
          <w:szCs w:val="24"/>
        </w:rPr>
        <w:t>i</w:t>
      </w:r>
      <w:r w:rsidR="009E55AA" w:rsidRPr="00C07BE5">
        <w:rPr>
          <w:rFonts w:cs="Times New Roman"/>
          <w:szCs w:val="24"/>
        </w:rPr>
        <w:t xml:space="preserve"> </w:t>
      </w:r>
      <w:r w:rsidR="00597F74" w:rsidRPr="00C07BE5">
        <w:rPr>
          <w:rFonts w:cs="Times New Roman"/>
          <w:szCs w:val="24"/>
        </w:rPr>
        <w:t xml:space="preserve">zbog </w:t>
      </w:r>
      <w:r w:rsidR="009E55AA" w:rsidRPr="00C07BE5">
        <w:rPr>
          <w:rFonts w:cs="Times New Roman"/>
          <w:szCs w:val="24"/>
        </w:rPr>
        <w:t>pomak</w:t>
      </w:r>
      <w:r w:rsidR="00597F74" w:rsidRPr="00C07BE5">
        <w:rPr>
          <w:rFonts w:cs="Times New Roman"/>
          <w:szCs w:val="24"/>
        </w:rPr>
        <w:t>a</w:t>
      </w:r>
      <w:r w:rsidR="009E55AA" w:rsidRPr="00C07BE5">
        <w:rPr>
          <w:rFonts w:cs="Times New Roman"/>
          <w:szCs w:val="24"/>
        </w:rPr>
        <w:t xml:space="preserve"> roka za </w:t>
      </w:r>
      <w:r w:rsidR="009D7DA3">
        <w:rPr>
          <w:rFonts w:cs="Times New Roman"/>
          <w:szCs w:val="24"/>
        </w:rPr>
        <w:t xml:space="preserve">preuzimanje </w:t>
      </w:r>
      <w:r w:rsidR="009E55AA" w:rsidRPr="00C07BE5">
        <w:rPr>
          <w:rFonts w:cs="Times New Roman"/>
          <w:szCs w:val="24"/>
        </w:rPr>
        <w:t xml:space="preserve">NSRAO </w:t>
      </w:r>
      <w:r w:rsidR="009D7DA3">
        <w:rPr>
          <w:rFonts w:cs="Times New Roman"/>
          <w:szCs w:val="24"/>
        </w:rPr>
        <w:t xml:space="preserve">iz NEK </w:t>
      </w:r>
      <w:r w:rsidR="009E55AA" w:rsidRPr="00C07BE5">
        <w:rPr>
          <w:rFonts w:cs="Times New Roman"/>
          <w:szCs w:val="24"/>
        </w:rPr>
        <w:t xml:space="preserve">na </w:t>
      </w:r>
      <w:r w:rsidR="009D7DA3">
        <w:rPr>
          <w:rFonts w:cs="Times New Roman"/>
          <w:szCs w:val="24"/>
        </w:rPr>
        <w:t xml:space="preserve">početak </w:t>
      </w:r>
      <w:r w:rsidR="009E55AA" w:rsidRPr="00C07BE5">
        <w:rPr>
          <w:rFonts w:cs="Times New Roman"/>
          <w:szCs w:val="24"/>
        </w:rPr>
        <w:t>2028.</w:t>
      </w:r>
      <w:r w:rsidR="00BD4FEC" w:rsidRPr="00C07BE5">
        <w:rPr>
          <w:rFonts w:cs="Times New Roman"/>
          <w:szCs w:val="24"/>
        </w:rPr>
        <w:t xml:space="preserve"> godin</w:t>
      </w:r>
      <w:r w:rsidR="009D7DA3">
        <w:rPr>
          <w:rFonts w:cs="Times New Roman"/>
          <w:szCs w:val="24"/>
        </w:rPr>
        <w:t>e</w:t>
      </w:r>
      <w:r w:rsidRPr="00C07BE5">
        <w:rPr>
          <w:rFonts w:cs="Times New Roman"/>
          <w:szCs w:val="24"/>
        </w:rPr>
        <w:t xml:space="preserve">. Nastavljena je suradnja između Fonda i NEK-a na provedbi postupaka razgradnje i zbrinjavanja starih parogeneratora i spaljivanja otpadnih ionskih smola. </w:t>
      </w:r>
    </w:p>
    <w:p w14:paraId="3FD66774" w14:textId="24AA6C7B" w:rsidR="001A23B8" w:rsidRPr="00C07BE5" w:rsidRDefault="001A23B8" w:rsidP="001A23B8">
      <w:pPr>
        <w:rPr>
          <w:rFonts w:cs="Times New Roman"/>
          <w:szCs w:val="24"/>
        </w:rPr>
      </w:pPr>
      <w:r w:rsidRPr="00C07BE5">
        <w:rPr>
          <w:rFonts w:cs="Times New Roman"/>
          <w:szCs w:val="24"/>
        </w:rPr>
        <w:t xml:space="preserve">U lipnju 2023. </w:t>
      </w:r>
      <w:r w:rsidR="009D7DA3">
        <w:rPr>
          <w:rFonts w:cs="Times New Roman"/>
          <w:szCs w:val="24"/>
        </w:rPr>
        <w:t xml:space="preserve">u Hrvatskoj </w:t>
      </w:r>
      <w:r w:rsidRPr="00C07BE5">
        <w:rPr>
          <w:rFonts w:cs="Times New Roman"/>
          <w:szCs w:val="24"/>
        </w:rPr>
        <w:t xml:space="preserve">je </w:t>
      </w:r>
      <w:r w:rsidR="009D7DA3">
        <w:rPr>
          <w:rFonts w:cs="Times New Roman"/>
          <w:szCs w:val="24"/>
        </w:rPr>
        <w:t xml:space="preserve">boravila </w:t>
      </w:r>
      <w:r w:rsidRPr="00C07BE5">
        <w:rPr>
          <w:rFonts w:cs="Times New Roman"/>
          <w:szCs w:val="24"/>
        </w:rPr>
        <w:t>A</w:t>
      </w:r>
      <w:r w:rsidR="00711DBA" w:rsidRPr="00C07BE5">
        <w:rPr>
          <w:rFonts w:cs="Times New Roman"/>
          <w:szCs w:val="24"/>
        </w:rPr>
        <w:t>RTEMIS</w:t>
      </w:r>
      <w:r w:rsidRPr="00C07BE5">
        <w:rPr>
          <w:rFonts w:cs="Times New Roman"/>
          <w:szCs w:val="24"/>
        </w:rPr>
        <w:t xml:space="preserve"> misija</w:t>
      </w:r>
      <w:r w:rsidR="009D7DA3">
        <w:rPr>
          <w:rFonts w:cs="Times New Roman"/>
          <w:szCs w:val="24"/>
        </w:rPr>
        <w:t xml:space="preserve">. ARTEMIS </w:t>
      </w:r>
      <w:r w:rsidRPr="00C07BE5">
        <w:rPr>
          <w:rFonts w:cs="Times New Roman"/>
          <w:szCs w:val="24"/>
        </w:rPr>
        <w:t xml:space="preserve"> </w:t>
      </w:r>
      <w:r w:rsidR="009D7DA3">
        <w:rPr>
          <w:rFonts w:cs="Times New Roman"/>
          <w:szCs w:val="24"/>
        </w:rPr>
        <w:t xml:space="preserve">je u 10 dana razmotrio </w:t>
      </w:r>
      <w:r w:rsidRPr="00C07BE5">
        <w:rPr>
          <w:rFonts w:cs="Times New Roman"/>
          <w:szCs w:val="24"/>
        </w:rPr>
        <w:t>sv</w:t>
      </w:r>
      <w:r w:rsidR="009D7DA3">
        <w:rPr>
          <w:rFonts w:cs="Times New Roman"/>
          <w:szCs w:val="24"/>
        </w:rPr>
        <w:t xml:space="preserve">e </w:t>
      </w:r>
      <w:r w:rsidRPr="00C07BE5">
        <w:rPr>
          <w:rFonts w:cs="Times New Roman"/>
          <w:szCs w:val="24"/>
        </w:rPr>
        <w:t>aspekt</w:t>
      </w:r>
      <w:r w:rsidR="009D7DA3">
        <w:rPr>
          <w:rFonts w:cs="Times New Roman"/>
          <w:szCs w:val="24"/>
        </w:rPr>
        <w:t>e</w:t>
      </w:r>
      <w:r w:rsidRPr="00C07BE5">
        <w:rPr>
          <w:rFonts w:cs="Times New Roman"/>
          <w:szCs w:val="24"/>
        </w:rPr>
        <w:t xml:space="preserve"> i teme vezane za zbrinjavanje RAO. U završnom izvješću misije</w:t>
      </w:r>
      <w:r w:rsidR="009D7DA3">
        <w:rPr>
          <w:rFonts w:cs="Times New Roman"/>
          <w:szCs w:val="24"/>
        </w:rPr>
        <w:t>,</w:t>
      </w:r>
      <w:r w:rsidRPr="00C07BE5">
        <w:rPr>
          <w:rFonts w:cs="Times New Roman"/>
          <w:szCs w:val="24"/>
        </w:rPr>
        <w:t xml:space="preserve"> međunarodni tim je </w:t>
      </w:r>
      <w:r w:rsidR="009D7DA3">
        <w:rPr>
          <w:rFonts w:cs="Times New Roman"/>
          <w:szCs w:val="24"/>
        </w:rPr>
        <w:t xml:space="preserve">dao </w:t>
      </w:r>
      <w:r w:rsidRPr="00C07BE5">
        <w:rPr>
          <w:rFonts w:cs="Times New Roman"/>
          <w:szCs w:val="24"/>
        </w:rPr>
        <w:t>1</w:t>
      </w:r>
      <w:r w:rsidR="0091741A">
        <w:rPr>
          <w:rFonts w:cs="Times New Roman"/>
          <w:szCs w:val="24"/>
        </w:rPr>
        <w:t>1</w:t>
      </w:r>
      <w:r w:rsidRPr="00C07BE5">
        <w:rPr>
          <w:rFonts w:cs="Times New Roman"/>
          <w:szCs w:val="24"/>
        </w:rPr>
        <w:t xml:space="preserve"> preporuka i 5 prijedloga, od kojih se </w:t>
      </w:r>
      <w:r w:rsidR="0091741A">
        <w:rPr>
          <w:rFonts w:cs="Times New Roman"/>
          <w:szCs w:val="24"/>
        </w:rPr>
        <w:t xml:space="preserve">2 preporuke i 2 prijedloga </w:t>
      </w:r>
      <w:r w:rsidRPr="00C07BE5">
        <w:rPr>
          <w:rFonts w:cs="Times New Roman"/>
          <w:szCs w:val="24"/>
        </w:rPr>
        <w:t>odnose na rad Fonda.</w:t>
      </w:r>
    </w:p>
    <w:p w14:paraId="1F4BA51C" w14:textId="3D3C4ABE" w:rsidR="001A23B8" w:rsidRPr="00C07BE5" w:rsidRDefault="009D7DA3" w:rsidP="001A23B8">
      <w:pPr>
        <w:rPr>
          <w:rFonts w:cs="Times New Roman"/>
          <w:szCs w:val="24"/>
        </w:rPr>
      </w:pPr>
      <w:r>
        <w:rPr>
          <w:rFonts w:cs="Times New Roman"/>
          <w:szCs w:val="24"/>
        </w:rPr>
        <w:t xml:space="preserve">U </w:t>
      </w:r>
      <w:r w:rsidR="00D13D56" w:rsidRPr="00C07BE5">
        <w:rPr>
          <w:rFonts w:cs="Times New Roman"/>
          <w:szCs w:val="24"/>
        </w:rPr>
        <w:t>2023. godin</w:t>
      </w:r>
      <w:r>
        <w:rPr>
          <w:rFonts w:cs="Times New Roman"/>
          <w:szCs w:val="24"/>
        </w:rPr>
        <w:t>i</w:t>
      </w:r>
      <w:r w:rsidR="00D13D56" w:rsidRPr="00C07BE5">
        <w:rPr>
          <w:rFonts w:cs="Times New Roman"/>
          <w:szCs w:val="24"/>
        </w:rPr>
        <w:t xml:space="preserve"> usvojene su izmjene Statuta i internih pravilnika Fonda temeljem kojih je uspostavljen Centar za zbrinjavanje radioaktivnog otpada kao ustrojstvena jedinica Fonda. </w:t>
      </w:r>
      <w:r w:rsidR="001A23B8" w:rsidRPr="00C07BE5">
        <w:rPr>
          <w:rFonts w:cs="Times New Roman"/>
          <w:szCs w:val="24"/>
        </w:rPr>
        <w:t xml:space="preserve">Vezano uz </w:t>
      </w:r>
      <w:r w:rsidR="00D13D56" w:rsidRPr="00C07BE5">
        <w:rPr>
          <w:rFonts w:cs="Times New Roman"/>
          <w:szCs w:val="24"/>
        </w:rPr>
        <w:t xml:space="preserve">pripremu dokumentacije za </w:t>
      </w:r>
      <w:r w:rsidR="00A32549" w:rsidRPr="00C07BE5">
        <w:rPr>
          <w:rFonts w:cs="Times New Roman"/>
          <w:szCs w:val="24"/>
        </w:rPr>
        <w:t>izgradnju</w:t>
      </w:r>
      <w:r w:rsidR="001A23B8" w:rsidRPr="00C07BE5">
        <w:rPr>
          <w:rFonts w:cs="Times New Roman"/>
          <w:szCs w:val="24"/>
        </w:rPr>
        <w:t xml:space="preserve"> Cent</w:t>
      </w:r>
      <w:r w:rsidR="00D13D56" w:rsidRPr="00C07BE5">
        <w:rPr>
          <w:rFonts w:cs="Times New Roman"/>
          <w:szCs w:val="24"/>
        </w:rPr>
        <w:t>a</w:t>
      </w:r>
      <w:r w:rsidR="001A23B8" w:rsidRPr="00C07BE5">
        <w:rPr>
          <w:rFonts w:cs="Times New Roman"/>
          <w:szCs w:val="24"/>
        </w:rPr>
        <w:t xml:space="preserve">r za zbrinjavanje radioaktivnog otpada na lokaciji Čerkezovac, na zahtjev projektanata </w:t>
      </w:r>
      <w:r w:rsidR="00F75E67" w:rsidRPr="00C07BE5">
        <w:rPr>
          <w:rFonts w:cs="Times New Roman"/>
          <w:szCs w:val="24"/>
        </w:rPr>
        <w:t>izvedeni su</w:t>
      </w:r>
      <w:r w:rsidR="001A23B8" w:rsidRPr="00C07BE5">
        <w:rPr>
          <w:rFonts w:cs="Times New Roman"/>
          <w:szCs w:val="24"/>
        </w:rPr>
        <w:t xml:space="preserve"> dodatni istražni radova za potrebe projektiranja upravne zgrade, a za tu svrhu provedeno je i razminiranje površine od 10.000 m</w:t>
      </w:r>
      <w:r w:rsidR="001A23B8" w:rsidRPr="00C07BE5">
        <w:rPr>
          <w:rFonts w:cs="Times New Roman"/>
          <w:szCs w:val="24"/>
          <w:vertAlign w:val="superscript"/>
        </w:rPr>
        <w:t>2</w:t>
      </w:r>
      <w:r w:rsidR="001A23B8" w:rsidRPr="00C07BE5">
        <w:rPr>
          <w:rFonts w:cs="Times New Roman"/>
          <w:szCs w:val="24"/>
        </w:rPr>
        <w:t xml:space="preserve">. U sklopu provedbe aktivnosti </w:t>
      </w:r>
      <w:r w:rsidR="004B61D4" w:rsidRPr="00C07BE5">
        <w:rPr>
          <w:rFonts w:cs="Times New Roman"/>
          <w:szCs w:val="24"/>
        </w:rPr>
        <w:t>G</w:t>
      </w:r>
      <w:r w:rsidR="001A23B8" w:rsidRPr="00C07BE5">
        <w:rPr>
          <w:rFonts w:cs="Times New Roman"/>
          <w:szCs w:val="24"/>
        </w:rPr>
        <w:t>rupe 3, izrađena je studija izvodljivosti, a u izradi su idejni projekt, sigurnosne analize i studija utjecaja na okoliš. U sklopu izrade studije utjecaja</w:t>
      </w:r>
      <w:r w:rsidR="00597F74" w:rsidRPr="00C07BE5">
        <w:rPr>
          <w:rFonts w:cs="Times New Roman"/>
          <w:szCs w:val="24"/>
        </w:rPr>
        <w:t xml:space="preserve"> na okoliš</w:t>
      </w:r>
      <w:r w:rsidR="001A23B8" w:rsidRPr="00C07BE5">
        <w:rPr>
          <w:rFonts w:cs="Times New Roman"/>
          <w:szCs w:val="24"/>
        </w:rPr>
        <w:t xml:space="preserve"> ishođeno je rješenje Ministarstva gospodarstva i održivog razvoja o prihvatljivosti zahvata za ekološku mrežu i uputa o sadržaju studije utjecaja zahvata Centra na okoliš. Uputa o sadržaju je ishođena nakon provedenog postupka </w:t>
      </w:r>
      <w:r w:rsidR="001A23B8" w:rsidRPr="009D7DA3">
        <w:rPr>
          <w:rFonts w:cs="Times New Roman"/>
          <w:i/>
          <w:iCs/>
          <w:szCs w:val="24"/>
        </w:rPr>
        <w:t>scopinga</w:t>
      </w:r>
      <w:r w:rsidR="001A23B8" w:rsidRPr="00C07BE5">
        <w:rPr>
          <w:rFonts w:cs="Times New Roman"/>
          <w:szCs w:val="24"/>
        </w:rPr>
        <w:t xml:space="preserve"> u kojemu su prikupljena mišljenja, primjedbe i prijedlozi nadležnih tijela, javnosti i zainteresirane javnosti, prekograničnih konzultacija s Bosnom i Hercegovinom te očitovanja Fonda.</w:t>
      </w:r>
      <w:r w:rsidR="008C0BC9" w:rsidRPr="00C07BE5">
        <w:rPr>
          <w:rFonts w:cs="Times New Roman"/>
          <w:szCs w:val="24"/>
        </w:rPr>
        <w:t xml:space="preserve"> </w:t>
      </w:r>
    </w:p>
    <w:p w14:paraId="6D7AF693" w14:textId="77777777" w:rsidR="00DB39BF" w:rsidRPr="00C07BE5" w:rsidRDefault="00DB39BF" w:rsidP="00DB39BF">
      <w:pPr>
        <w:rPr>
          <w:rFonts w:cs="Times New Roman"/>
          <w:szCs w:val="24"/>
        </w:rPr>
      </w:pPr>
      <w:r w:rsidRPr="00C07BE5">
        <w:rPr>
          <w:rFonts w:cs="Times New Roman"/>
          <w:szCs w:val="24"/>
        </w:rPr>
        <w:t xml:space="preserve">Javnost je redovito izvještavana o tijeku projekta uspostave Centra putem internetskih stranica i društvenih mreža Fonda, lokalnih i nacionalnih medija, te objavljivanjem i dostavom Newslettera. </w:t>
      </w:r>
    </w:p>
    <w:p w14:paraId="21526994" w14:textId="77777777" w:rsidR="00DB39BF" w:rsidRPr="00C07BE5" w:rsidRDefault="00DB39BF" w:rsidP="00DB39BF">
      <w:pPr>
        <w:rPr>
          <w:rFonts w:cs="Times New Roman"/>
          <w:szCs w:val="24"/>
        </w:rPr>
      </w:pPr>
      <w:r w:rsidRPr="00C07BE5">
        <w:rPr>
          <w:rFonts w:cs="Times New Roman"/>
          <w:szCs w:val="24"/>
        </w:rPr>
        <w:t>U skladu s opredjeljenjem Općine Dvor za poljoprivredu kao održivi smjer razvitka, izrađena je Agroekološka studija i prezentirana stanovnicima Općine Dvor.</w:t>
      </w:r>
    </w:p>
    <w:p w14:paraId="71A91620" w14:textId="4D0C2F05" w:rsidR="00DB39BF" w:rsidRPr="00C07BE5" w:rsidRDefault="00DB39BF" w:rsidP="00DB39BF">
      <w:r w:rsidRPr="00C07BE5">
        <w:rPr>
          <w:rFonts w:cs="Times New Roman"/>
          <w:szCs w:val="24"/>
        </w:rPr>
        <w:lastRenderedPageBreak/>
        <w:t>Tijekom godine provedeni su natječaji za dodjelu sredstava pčelarskim i ribolovnim udrugama s područja Općine Dvor.</w:t>
      </w:r>
      <w:r w:rsidRPr="00C07BE5">
        <w:t xml:space="preserve"> Nakon velikih svibanjskih poplava Fond je donirao kardansku mobilnu pumpu visokog kapaciteta za ispumpavanje vode iz kuće Dobrovoljnom vatrogasnom društvu Dvor.</w:t>
      </w:r>
    </w:p>
    <w:p w14:paraId="7EC2AEC6" w14:textId="78746C9A" w:rsidR="00DB39BF" w:rsidRPr="00C07BE5" w:rsidRDefault="00DB39BF" w:rsidP="00DB39BF">
      <w:pPr>
        <w:rPr>
          <w:rFonts w:cs="Times New Roman"/>
          <w:szCs w:val="24"/>
        </w:rPr>
      </w:pPr>
      <w:r w:rsidRPr="00C07BE5">
        <w:rPr>
          <w:rFonts w:cs="Times New Roman"/>
          <w:szCs w:val="24"/>
        </w:rPr>
        <w:t>Proveden je niz informativnih aktivnosti s ciljem uspostavljanja i održavanja komunikacije s lokalnom zajednicom, kao što su studijska putovanja, sufinanciranje različitih zdravstvenih programa na području Općine Dvor, produkcija i plasman emisija i članaka o tematici projekta</w:t>
      </w:r>
      <w:r w:rsidR="0091741A">
        <w:rPr>
          <w:rFonts w:cs="Times New Roman"/>
          <w:szCs w:val="24"/>
        </w:rPr>
        <w:t>,</w:t>
      </w:r>
      <w:r w:rsidRPr="00C07BE5">
        <w:rPr>
          <w:rFonts w:cs="Times New Roman"/>
          <w:szCs w:val="24"/>
        </w:rPr>
        <w:t xml:space="preserve"> itd. Sredinom godine pokrenuti su i organizirani obilasci lokacije Centra za sve zainteresirane posjetitelje.</w:t>
      </w:r>
      <w:r w:rsidR="009D7DA3">
        <w:rPr>
          <w:rFonts w:cs="Times New Roman"/>
          <w:szCs w:val="24"/>
        </w:rPr>
        <w:t xml:space="preserve"> </w:t>
      </w:r>
    </w:p>
    <w:p w14:paraId="43118A03" w14:textId="77777777" w:rsidR="00463709" w:rsidRPr="00C07BE5" w:rsidRDefault="00463709">
      <w:pPr>
        <w:spacing w:after="160" w:line="360" w:lineRule="auto"/>
        <w:jc w:val="left"/>
        <w:rPr>
          <w:rFonts w:cs="Times New Roman"/>
          <w:szCs w:val="24"/>
        </w:rPr>
      </w:pPr>
      <w:r w:rsidRPr="00C07BE5">
        <w:rPr>
          <w:rFonts w:cs="Times New Roman"/>
          <w:szCs w:val="24"/>
        </w:rPr>
        <w:br w:type="page"/>
      </w:r>
    </w:p>
    <w:p w14:paraId="1E514B28" w14:textId="37E5EEC5" w:rsidR="00423CDD" w:rsidRPr="00C07BE5" w:rsidRDefault="00423CDD" w:rsidP="001C1104">
      <w:pPr>
        <w:pStyle w:val="Heading1"/>
      </w:pPr>
      <w:bookmarkStart w:id="121" w:name="_Toc80697111"/>
      <w:bookmarkStart w:id="122" w:name="_Toc127350271"/>
      <w:bookmarkStart w:id="123" w:name="_Toc158992048"/>
      <w:r w:rsidRPr="00C07BE5">
        <w:lastRenderedPageBreak/>
        <w:t xml:space="preserve">Dodatak I – </w:t>
      </w:r>
      <w:r w:rsidR="00EC4DA3" w:rsidRPr="00C07BE5">
        <w:t>P</w:t>
      </w:r>
      <w:r w:rsidRPr="00C07BE5">
        <w:t xml:space="preserve">regled ulaganja </w:t>
      </w:r>
      <w:r w:rsidR="00EC4DA3" w:rsidRPr="00C07BE5">
        <w:t>u financijsku imo</w:t>
      </w:r>
      <w:bookmarkEnd w:id="121"/>
      <w:bookmarkEnd w:id="122"/>
      <w:r w:rsidR="00EC4DA3" w:rsidRPr="00C07BE5">
        <w:t>vinu</w:t>
      </w:r>
      <w:bookmarkEnd w:id="123"/>
    </w:p>
    <w:p w14:paraId="4CCEB290" w14:textId="74DB7AA1" w:rsidR="006F0831" w:rsidRPr="00C07BE5" w:rsidRDefault="006F0831" w:rsidP="006F0831">
      <w:pPr>
        <w:pStyle w:val="Caption"/>
        <w:keepNext/>
        <w:rPr>
          <w:rFonts w:cs="Times New Roman"/>
          <w:i w:val="0"/>
          <w:iCs w:val="0"/>
          <w:sz w:val="22"/>
          <w:szCs w:val="22"/>
        </w:rPr>
      </w:pPr>
      <w:bookmarkStart w:id="124" w:name="_Toc158991964"/>
      <w:r w:rsidRPr="00C07BE5">
        <w:rPr>
          <w:rFonts w:cs="Times New Roman"/>
          <w:i w:val="0"/>
          <w:iCs w:val="0"/>
          <w:sz w:val="22"/>
          <w:szCs w:val="22"/>
        </w:rPr>
        <w:t xml:space="preserve">Tablica </w:t>
      </w:r>
      <w:r w:rsidR="00940133" w:rsidRPr="00C07BE5">
        <w:rPr>
          <w:rFonts w:cs="Times New Roman"/>
          <w:i w:val="0"/>
          <w:iCs w:val="0"/>
          <w:sz w:val="22"/>
          <w:szCs w:val="22"/>
        </w:rPr>
        <w:fldChar w:fldCharType="begin"/>
      </w:r>
      <w:r w:rsidR="00940133" w:rsidRPr="00C07BE5">
        <w:rPr>
          <w:rFonts w:cs="Times New Roman"/>
          <w:i w:val="0"/>
          <w:iCs w:val="0"/>
          <w:sz w:val="22"/>
          <w:szCs w:val="22"/>
        </w:rPr>
        <w:instrText xml:space="preserve"> SEQ Tablica \* ARABIC </w:instrText>
      </w:r>
      <w:r w:rsidR="00940133" w:rsidRPr="00C07BE5">
        <w:rPr>
          <w:rFonts w:cs="Times New Roman"/>
          <w:i w:val="0"/>
          <w:iCs w:val="0"/>
          <w:sz w:val="22"/>
          <w:szCs w:val="22"/>
        </w:rPr>
        <w:fldChar w:fldCharType="separate"/>
      </w:r>
      <w:r w:rsidR="00A050EE" w:rsidRPr="00C07BE5">
        <w:rPr>
          <w:rFonts w:cs="Times New Roman"/>
          <w:i w:val="0"/>
          <w:iCs w:val="0"/>
          <w:noProof/>
          <w:sz w:val="22"/>
          <w:szCs w:val="22"/>
        </w:rPr>
        <w:t>7</w:t>
      </w:r>
      <w:r w:rsidR="00940133" w:rsidRPr="00C07BE5">
        <w:rPr>
          <w:rFonts w:cs="Times New Roman"/>
          <w:i w:val="0"/>
          <w:iCs w:val="0"/>
          <w:noProof/>
          <w:sz w:val="22"/>
          <w:szCs w:val="22"/>
        </w:rPr>
        <w:fldChar w:fldCharType="end"/>
      </w:r>
      <w:r w:rsidRPr="00C07BE5">
        <w:rPr>
          <w:rFonts w:cs="Times New Roman"/>
          <w:i w:val="0"/>
          <w:iCs w:val="0"/>
          <w:sz w:val="22"/>
          <w:szCs w:val="22"/>
        </w:rPr>
        <w:t xml:space="preserve"> - Pregled pozicija u dionicama</w:t>
      </w:r>
      <w:bookmarkEnd w:id="124"/>
    </w:p>
    <w:p w14:paraId="4A7517D4" w14:textId="08EFA0FA" w:rsidR="00BE18A8" w:rsidRPr="00C07BE5" w:rsidRDefault="00294016" w:rsidP="00BE18A8">
      <w:r w:rsidRPr="00C07BE5">
        <w:rPr>
          <w:noProof/>
        </w:rPr>
        <w:drawing>
          <wp:inline distT="0" distB="0" distL="0" distR="0" wp14:anchorId="722EA2B6" wp14:editId="54697147">
            <wp:extent cx="5839377" cy="7362825"/>
            <wp:effectExtent l="0" t="0" r="9525" b="0"/>
            <wp:docPr id="1121741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2268" cy="7366471"/>
                    </a:xfrm>
                    <a:prstGeom prst="rect">
                      <a:avLst/>
                    </a:prstGeom>
                    <a:noFill/>
                    <a:ln>
                      <a:noFill/>
                    </a:ln>
                  </pic:spPr>
                </pic:pic>
              </a:graphicData>
            </a:graphic>
          </wp:inline>
        </w:drawing>
      </w:r>
    </w:p>
    <w:p w14:paraId="323B87EF" w14:textId="751DFD55" w:rsidR="006F0831" w:rsidRPr="00C07BE5" w:rsidRDefault="006F0831" w:rsidP="006F0831">
      <w:pPr>
        <w:pStyle w:val="Caption"/>
        <w:keepNext/>
        <w:rPr>
          <w:rFonts w:cs="Times New Roman"/>
          <w:i w:val="0"/>
          <w:iCs w:val="0"/>
          <w:sz w:val="22"/>
          <w:szCs w:val="22"/>
        </w:rPr>
      </w:pPr>
      <w:bookmarkStart w:id="125" w:name="_Toc158991965"/>
      <w:r w:rsidRPr="00C07BE5">
        <w:rPr>
          <w:rFonts w:cs="Times New Roman"/>
          <w:i w:val="0"/>
          <w:iCs w:val="0"/>
          <w:sz w:val="22"/>
          <w:szCs w:val="22"/>
        </w:rPr>
        <w:lastRenderedPageBreak/>
        <w:t xml:space="preserve">Tablica </w:t>
      </w:r>
      <w:r w:rsidRPr="00C07BE5">
        <w:rPr>
          <w:rFonts w:cs="Times New Roman"/>
          <w:i w:val="0"/>
          <w:iCs w:val="0"/>
          <w:sz w:val="22"/>
          <w:szCs w:val="22"/>
        </w:rPr>
        <w:fldChar w:fldCharType="begin"/>
      </w:r>
      <w:r w:rsidRPr="00C07BE5">
        <w:rPr>
          <w:rFonts w:cs="Times New Roman"/>
          <w:i w:val="0"/>
          <w:iCs w:val="0"/>
          <w:sz w:val="22"/>
          <w:szCs w:val="22"/>
        </w:rPr>
        <w:instrText xml:space="preserve"> SEQ Tablica \* ARABIC </w:instrText>
      </w:r>
      <w:r w:rsidRPr="00C07BE5">
        <w:rPr>
          <w:rFonts w:cs="Times New Roman"/>
          <w:i w:val="0"/>
          <w:iCs w:val="0"/>
          <w:sz w:val="22"/>
          <w:szCs w:val="22"/>
        </w:rPr>
        <w:fldChar w:fldCharType="separate"/>
      </w:r>
      <w:r w:rsidR="00A050EE" w:rsidRPr="00C07BE5">
        <w:rPr>
          <w:rFonts w:cs="Times New Roman"/>
          <w:i w:val="0"/>
          <w:iCs w:val="0"/>
          <w:noProof/>
          <w:sz w:val="22"/>
          <w:szCs w:val="22"/>
        </w:rPr>
        <w:t>8</w:t>
      </w:r>
      <w:r w:rsidRPr="00C07BE5">
        <w:rPr>
          <w:rFonts w:cs="Times New Roman"/>
          <w:i w:val="0"/>
          <w:iCs w:val="0"/>
          <w:sz w:val="22"/>
          <w:szCs w:val="22"/>
        </w:rPr>
        <w:fldChar w:fldCharType="end"/>
      </w:r>
      <w:r w:rsidRPr="00C07BE5">
        <w:rPr>
          <w:rFonts w:cs="Times New Roman"/>
          <w:i w:val="0"/>
          <w:iCs w:val="0"/>
          <w:sz w:val="22"/>
          <w:szCs w:val="22"/>
        </w:rPr>
        <w:t xml:space="preserve"> - Pregled pozicija u investicijskim fondovima</w:t>
      </w:r>
      <w:bookmarkEnd w:id="125"/>
    </w:p>
    <w:p w14:paraId="118BCB0E" w14:textId="4F351D2D" w:rsidR="00BE18A8" w:rsidRPr="00C07BE5" w:rsidRDefault="00294016" w:rsidP="00BE18A8">
      <w:r w:rsidRPr="00C07BE5">
        <w:rPr>
          <w:noProof/>
        </w:rPr>
        <w:drawing>
          <wp:inline distT="0" distB="0" distL="0" distR="0" wp14:anchorId="499EDD07" wp14:editId="567ACA99">
            <wp:extent cx="6106795" cy="6785610"/>
            <wp:effectExtent l="0" t="0" r="8255" b="0"/>
            <wp:docPr id="1206253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6795" cy="6785610"/>
                    </a:xfrm>
                    <a:prstGeom prst="rect">
                      <a:avLst/>
                    </a:prstGeom>
                    <a:noFill/>
                    <a:ln>
                      <a:noFill/>
                    </a:ln>
                  </pic:spPr>
                </pic:pic>
              </a:graphicData>
            </a:graphic>
          </wp:inline>
        </w:drawing>
      </w:r>
    </w:p>
    <w:p w14:paraId="59FF2FDC" w14:textId="6E6FB714" w:rsidR="006F0831" w:rsidRPr="00C07BE5" w:rsidRDefault="006F0831" w:rsidP="006F0831">
      <w:pPr>
        <w:pStyle w:val="Caption"/>
        <w:keepNext/>
        <w:rPr>
          <w:rFonts w:cs="Times New Roman"/>
          <w:i w:val="0"/>
          <w:iCs w:val="0"/>
          <w:sz w:val="22"/>
          <w:szCs w:val="22"/>
        </w:rPr>
      </w:pPr>
      <w:bookmarkStart w:id="126" w:name="_Toc158991966"/>
      <w:r w:rsidRPr="00C07BE5">
        <w:rPr>
          <w:rFonts w:cs="Times New Roman"/>
          <w:i w:val="0"/>
          <w:iCs w:val="0"/>
          <w:sz w:val="22"/>
          <w:szCs w:val="22"/>
        </w:rPr>
        <w:lastRenderedPageBreak/>
        <w:t xml:space="preserve">Tablica </w:t>
      </w:r>
      <w:r w:rsidRPr="00C07BE5">
        <w:rPr>
          <w:rFonts w:cs="Times New Roman"/>
          <w:i w:val="0"/>
          <w:iCs w:val="0"/>
          <w:sz w:val="22"/>
          <w:szCs w:val="22"/>
        </w:rPr>
        <w:fldChar w:fldCharType="begin"/>
      </w:r>
      <w:r w:rsidRPr="00C07BE5">
        <w:rPr>
          <w:rFonts w:cs="Times New Roman"/>
          <w:i w:val="0"/>
          <w:iCs w:val="0"/>
          <w:sz w:val="22"/>
          <w:szCs w:val="22"/>
        </w:rPr>
        <w:instrText xml:space="preserve"> SEQ Tablica \* ARABIC </w:instrText>
      </w:r>
      <w:r w:rsidRPr="00C07BE5">
        <w:rPr>
          <w:rFonts w:cs="Times New Roman"/>
          <w:i w:val="0"/>
          <w:iCs w:val="0"/>
          <w:sz w:val="22"/>
          <w:szCs w:val="22"/>
        </w:rPr>
        <w:fldChar w:fldCharType="separate"/>
      </w:r>
      <w:r w:rsidR="00A050EE" w:rsidRPr="00C07BE5">
        <w:rPr>
          <w:rFonts w:cs="Times New Roman"/>
          <w:i w:val="0"/>
          <w:iCs w:val="0"/>
          <w:noProof/>
          <w:sz w:val="22"/>
          <w:szCs w:val="22"/>
        </w:rPr>
        <w:t>9</w:t>
      </w:r>
      <w:r w:rsidRPr="00C07BE5">
        <w:rPr>
          <w:rFonts w:cs="Times New Roman"/>
          <w:i w:val="0"/>
          <w:iCs w:val="0"/>
          <w:sz w:val="22"/>
          <w:szCs w:val="22"/>
        </w:rPr>
        <w:fldChar w:fldCharType="end"/>
      </w:r>
      <w:r w:rsidRPr="00C07BE5">
        <w:rPr>
          <w:rFonts w:cs="Times New Roman"/>
          <w:i w:val="0"/>
          <w:iCs w:val="0"/>
          <w:sz w:val="22"/>
          <w:szCs w:val="22"/>
        </w:rPr>
        <w:t xml:space="preserve"> - Pregled pozicija u obveznicama</w:t>
      </w:r>
      <w:bookmarkEnd w:id="126"/>
    </w:p>
    <w:p w14:paraId="19715D18" w14:textId="6B48F606" w:rsidR="00BE18A8" w:rsidRPr="00C07BE5" w:rsidRDefault="00294016" w:rsidP="0058165F">
      <w:r w:rsidRPr="00C07BE5">
        <w:rPr>
          <w:noProof/>
        </w:rPr>
        <w:drawing>
          <wp:inline distT="0" distB="0" distL="0" distR="0" wp14:anchorId="55F23FCF" wp14:editId="781ABDCC">
            <wp:extent cx="4985220" cy="8067675"/>
            <wp:effectExtent l="0" t="0" r="6350" b="0"/>
            <wp:docPr id="19754497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7397" cy="8071198"/>
                    </a:xfrm>
                    <a:prstGeom prst="rect">
                      <a:avLst/>
                    </a:prstGeom>
                    <a:noFill/>
                    <a:ln>
                      <a:noFill/>
                    </a:ln>
                  </pic:spPr>
                </pic:pic>
              </a:graphicData>
            </a:graphic>
          </wp:inline>
        </w:drawing>
      </w:r>
    </w:p>
    <w:p w14:paraId="2E68EC51" w14:textId="556CD120" w:rsidR="00423CDD" w:rsidRPr="00C07BE5" w:rsidRDefault="00423CDD" w:rsidP="001C1104">
      <w:pPr>
        <w:pStyle w:val="Heading1"/>
      </w:pPr>
      <w:bookmarkStart w:id="127" w:name="_Toc126912900"/>
      <w:bookmarkStart w:id="128" w:name="_Toc126912901"/>
      <w:bookmarkStart w:id="129" w:name="_Toc80697112"/>
      <w:bookmarkStart w:id="130" w:name="_Toc127350273"/>
      <w:bookmarkStart w:id="131" w:name="_Toc158992049"/>
      <w:bookmarkEnd w:id="127"/>
      <w:bookmarkEnd w:id="128"/>
      <w:r w:rsidRPr="00C07BE5">
        <w:lastRenderedPageBreak/>
        <w:t xml:space="preserve">Dodatak </w:t>
      </w:r>
      <w:r w:rsidR="00EC4DA3" w:rsidRPr="00C07BE5">
        <w:t>I</w:t>
      </w:r>
      <w:r w:rsidR="00A050EE" w:rsidRPr="00C07BE5">
        <w:t>I</w:t>
      </w:r>
      <w:r w:rsidR="00EC4DA3" w:rsidRPr="00C07BE5">
        <w:t xml:space="preserve"> </w:t>
      </w:r>
      <w:r w:rsidRPr="00C07BE5">
        <w:t>– popis kratica</w:t>
      </w:r>
      <w:bookmarkEnd w:id="129"/>
      <w:bookmarkEnd w:id="130"/>
      <w:bookmarkEnd w:id="131"/>
    </w:p>
    <w:tbl>
      <w:tblPr>
        <w:tblW w:w="9639" w:type="dxa"/>
        <w:tblBorders>
          <w:top w:val="single" w:sz="4" w:space="0" w:color="auto"/>
          <w:bottom w:val="single" w:sz="4" w:space="0" w:color="auto"/>
          <w:insideH w:val="single" w:sz="4" w:space="0" w:color="auto"/>
        </w:tblBorders>
        <w:tblLook w:val="04A0" w:firstRow="1" w:lastRow="0" w:firstColumn="1" w:lastColumn="0" w:noHBand="0" w:noVBand="1"/>
      </w:tblPr>
      <w:tblGrid>
        <w:gridCol w:w="2800"/>
        <w:gridCol w:w="6839"/>
      </w:tblGrid>
      <w:tr w:rsidR="00A32549" w:rsidRPr="00C07BE5" w14:paraId="739E2944" w14:textId="77777777" w:rsidTr="00690A51">
        <w:trPr>
          <w:trHeight w:val="300"/>
        </w:trPr>
        <w:tc>
          <w:tcPr>
            <w:tcW w:w="2800" w:type="dxa"/>
            <w:tcBorders>
              <w:top w:val="single" w:sz="4" w:space="0" w:color="auto"/>
              <w:left w:val="nil"/>
              <w:bottom w:val="single" w:sz="4" w:space="0" w:color="auto"/>
              <w:right w:val="nil"/>
            </w:tcBorders>
            <w:noWrap/>
          </w:tcPr>
          <w:p w14:paraId="558F6D0A" w14:textId="77777777" w:rsidR="00A32549" w:rsidRPr="00C07BE5" w:rsidDel="00F73C16" w:rsidRDefault="00A32549" w:rsidP="00690A51">
            <w:pPr>
              <w:spacing w:after="0" w:line="240" w:lineRule="auto"/>
              <w:rPr>
                <w:rFonts w:cs="Times New Roman"/>
                <w:szCs w:val="24"/>
              </w:rPr>
            </w:pPr>
            <w:r w:rsidRPr="00C07BE5">
              <w:rPr>
                <w:rFonts w:cs="Times New Roman"/>
                <w:szCs w:val="24"/>
              </w:rPr>
              <w:t>ARAO</w:t>
            </w:r>
          </w:p>
        </w:tc>
        <w:tc>
          <w:tcPr>
            <w:tcW w:w="6839" w:type="dxa"/>
            <w:tcBorders>
              <w:top w:val="single" w:sz="4" w:space="0" w:color="auto"/>
              <w:left w:val="nil"/>
              <w:bottom w:val="single" w:sz="4" w:space="0" w:color="auto"/>
              <w:right w:val="nil"/>
            </w:tcBorders>
            <w:noWrap/>
          </w:tcPr>
          <w:p w14:paraId="7A56EBBA" w14:textId="77777777" w:rsidR="00A32549" w:rsidRPr="00C07BE5" w:rsidDel="00F73C16" w:rsidRDefault="00A32549" w:rsidP="00690A51">
            <w:pPr>
              <w:spacing w:after="0" w:line="240" w:lineRule="auto"/>
              <w:rPr>
                <w:rFonts w:cs="Times New Roman"/>
                <w:szCs w:val="24"/>
              </w:rPr>
            </w:pPr>
            <w:r w:rsidRPr="00C07BE5">
              <w:rPr>
                <w:rFonts w:cs="Times New Roman"/>
                <w:szCs w:val="24"/>
              </w:rPr>
              <w:t>Slovenska agencija za radioaktivni otpad</w:t>
            </w:r>
          </w:p>
        </w:tc>
      </w:tr>
      <w:tr w:rsidR="00A32549" w:rsidRPr="00C07BE5" w14:paraId="0BF61B26" w14:textId="77777777" w:rsidTr="00690A51">
        <w:trPr>
          <w:trHeight w:val="300"/>
        </w:trPr>
        <w:tc>
          <w:tcPr>
            <w:tcW w:w="2800" w:type="dxa"/>
            <w:tcBorders>
              <w:top w:val="single" w:sz="4" w:space="0" w:color="auto"/>
              <w:left w:val="nil"/>
              <w:bottom w:val="single" w:sz="4" w:space="0" w:color="auto"/>
              <w:right w:val="nil"/>
            </w:tcBorders>
            <w:noWrap/>
          </w:tcPr>
          <w:p w14:paraId="15A208B9" w14:textId="77777777" w:rsidR="00A32549" w:rsidRPr="00C07BE5" w:rsidRDefault="00A32549" w:rsidP="00690A51">
            <w:pPr>
              <w:spacing w:after="0" w:line="240" w:lineRule="auto"/>
              <w:rPr>
                <w:rFonts w:cs="Times New Roman"/>
                <w:szCs w:val="24"/>
              </w:rPr>
            </w:pPr>
            <w:r w:rsidRPr="00C07BE5">
              <w:rPr>
                <w:rFonts w:cs="Times New Roman"/>
                <w:szCs w:val="24"/>
              </w:rPr>
              <w:t>BiH</w:t>
            </w:r>
          </w:p>
        </w:tc>
        <w:tc>
          <w:tcPr>
            <w:tcW w:w="6839" w:type="dxa"/>
            <w:tcBorders>
              <w:top w:val="single" w:sz="4" w:space="0" w:color="auto"/>
              <w:left w:val="nil"/>
              <w:bottom w:val="single" w:sz="4" w:space="0" w:color="auto"/>
              <w:right w:val="nil"/>
            </w:tcBorders>
            <w:noWrap/>
          </w:tcPr>
          <w:p w14:paraId="04354DCB" w14:textId="77777777" w:rsidR="00A32549" w:rsidRPr="00C07BE5" w:rsidRDefault="00A32549" w:rsidP="00690A51">
            <w:pPr>
              <w:spacing w:after="0" w:line="240" w:lineRule="auto"/>
              <w:rPr>
                <w:rFonts w:cs="Times New Roman"/>
                <w:szCs w:val="24"/>
              </w:rPr>
            </w:pPr>
            <w:r w:rsidRPr="00C07BE5">
              <w:rPr>
                <w:rFonts w:cs="Times New Roman"/>
                <w:szCs w:val="24"/>
              </w:rPr>
              <w:t>Bosna i Hercegovina</w:t>
            </w:r>
          </w:p>
        </w:tc>
      </w:tr>
      <w:tr w:rsidR="00A32549" w:rsidRPr="00C07BE5" w14:paraId="0C55BB95" w14:textId="77777777" w:rsidTr="00690A51">
        <w:trPr>
          <w:trHeight w:val="855"/>
        </w:trPr>
        <w:tc>
          <w:tcPr>
            <w:tcW w:w="2800" w:type="dxa"/>
            <w:tcBorders>
              <w:top w:val="single" w:sz="4" w:space="0" w:color="auto"/>
              <w:left w:val="nil"/>
              <w:bottom w:val="single" w:sz="4" w:space="0" w:color="auto"/>
              <w:right w:val="nil"/>
            </w:tcBorders>
            <w:noWrap/>
            <w:hideMark/>
          </w:tcPr>
          <w:p w14:paraId="661DD39F" w14:textId="77777777" w:rsidR="00A32549" w:rsidRPr="00C07BE5" w:rsidRDefault="00A32549" w:rsidP="00690A51">
            <w:pPr>
              <w:spacing w:after="0" w:line="240" w:lineRule="auto"/>
              <w:rPr>
                <w:rFonts w:cs="Times New Roman"/>
                <w:szCs w:val="24"/>
              </w:rPr>
            </w:pPr>
            <w:r w:rsidRPr="00C07BE5">
              <w:rPr>
                <w:rFonts w:cs="Times New Roman"/>
                <w:szCs w:val="24"/>
              </w:rPr>
              <w:t>Centar</w:t>
            </w:r>
          </w:p>
        </w:tc>
        <w:tc>
          <w:tcPr>
            <w:tcW w:w="6839" w:type="dxa"/>
            <w:tcBorders>
              <w:top w:val="single" w:sz="4" w:space="0" w:color="auto"/>
              <w:left w:val="nil"/>
              <w:bottom w:val="single" w:sz="4" w:space="0" w:color="auto"/>
              <w:right w:val="nil"/>
            </w:tcBorders>
            <w:hideMark/>
          </w:tcPr>
          <w:p w14:paraId="214C6F47" w14:textId="77777777" w:rsidR="00A32549" w:rsidRPr="00C07BE5" w:rsidRDefault="00A32549" w:rsidP="00690A51">
            <w:pPr>
              <w:spacing w:after="0" w:line="240" w:lineRule="auto"/>
              <w:rPr>
                <w:rFonts w:cs="Times New Roman"/>
                <w:szCs w:val="24"/>
              </w:rPr>
            </w:pPr>
            <w:r w:rsidRPr="00C07BE5">
              <w:rPr>
                <w:rFonts w:cs="Times New Roman"/>
                <w:szCs w:val="24"/>
              </w:rPr>
              <w:t>Centar za zbrinjavanje radioaktivnog otpada u skladu sa Strategijom zbrinjavanja radioaktivnog otpada, iskorištenih izvora i istrošenoga nuklearnog goriva (Centar za zbrinjavanje RAO)</w:t>
            </w:r>
          </w:p>
        </w:tc>
      </w:tr>
      <w:tr w:rsidR="00A32549" w:rsidRPr="00C07BE5" w14:paraId="0D9AD5CA" w14:textId="77777777" w:rsidTr="00690A51">
        <w:trPr>
          <w:trHeight w:val="307"/>
        </w:trPr>
        <w:tc>
          <w:tcPr>
            <w:tcW w:w="2800" w:type="dxa"/>
            <w:tcBorders>
              <w:top w:val="single" w:sz="4" w:space="0" w:color="auto"/>
              <w:left w:val="nil"/>
              <w:bottom w:val="single" w:sz="4" w:space="0" w:color="auto"/>
              <w:right w:val="nil"/>
            </w:tcBorders>
            <w:noWrap/>
          </w:tcPr>
          <w:p w14:paraId="5009ECDD" w14:textId="77777777" w:rsidR="00A32549" w:rsidRPr="00C07BE5" w:rsidRDefault="00A32549" w:rsidP="00690A51">
            <w:pPr>
              <w:spacing w:after="0" w:line="240" w:lineRule="auto"/>
              <w:rPr>
                <w:rFonts w:cs="Times New Roman"/>
                <w:szCs w:val="24"/>
              </w:rPr>
            </w:pPr>
            <w:r w:rsidRPr="00C07BE5">
              <w:rPr>
                <w:rFonts w:cs="Times New Roman"/>
                <w:szCs w:val="24"/>
              </w:rPr>
              <w:t>CoA</w:t>
            </w:r>
          </w:p>
        </w:tc>
        <w:tc>
          <w:tcPr>
            <w:tcW w:w="6839" w:type="dxa"/>
            <w:tcBorders>
              <w:top w:val="single" w:sz="4" w:space="0" w:color="auto"/>
              <w:left w:val="nil"/>
              <w:bottom w:val="single" w:sz="4" w:space="0" w:color="auto"/>
              <w:right w:val="nil"/>
            </w:tcBorders>
          </w:tcPr>
          <w:p w14:paraId="27D0BACB" w14:textId="77777777" w:rsidR="00A32549" w:rsidRPr="00C07BE5" w:rsidRDefault="00A32549" w:rsidP="00690A51">
            <w:pPr>
              <w:spacing w:after="0" w:line="240" w:lineRule="auto"/>
              <w:rPr>
                <w:rFonts w:cs="Times New Roman"/>
                <w:szCs w:val="24"/>
              </w:rPr>
            </w:pPr>
            <w:r w:rsidRPr="00C07BE5">
              <w:rPr>
                <w:rFonts w:cs="Times New Roman"/>
                <w:szCs w:val="24"/>
              </w:rPr>
              <w:t>Club of Agencies</w:t>
            </w:r>
          </w:p>
        </w:tc>
      </w:tr>
      <w:tr w:rsidR="00A32549" w:rsidRPr="00C07BE5" w14:paraId="4E1AD20F" w14:textId="77777777" w:rsidTr="00690A51">
        <w:trPr>
          <w:trHeight w:val="300"/>
        </w:trPr>
        <w:tc>
          <w:tcPr>
            <w:tcW w:w="2800" w:type="dxa"/>
            <w:tcBorders>
              <w:top w:val="single" w:sz="4" w:space="0" w:color="auto"/>
              <w:left w:val="nil"/>
              <w:bottom w:val="single" w:sz="4" w:space="0" w:color="auto"/>
              <w:right w:val="nil"/>
            </w:tcBorders>
            <w:noWrap/>
            <w:hideMark/>
          </w:tcPr>
          <w:p w14:paraId="3727794E" w14:textId="77777777" w:rsidR="00A32549" w:rsidRPr="00C07BE5" w:rsidRDefault="00A32549" w:rsidP="00690A51">
            <w:pPr>
              <w:spacing w:after="0" w:line="240" w:lineRule="auto"/>
              <w:rPr>
                <w:rFonts w:cs="Times New Roman"/>
                <w:szCs w:val="24"/>
              </w:rPr>
            </w:pPr>
            <w:r w:rsidRPr="00C07BE5">
              <w:rPr>
                <w:rFonts w:cs="Times New Roman"/>
                <w:szCs w:val="24"/>
              </w:rPr>
              <w:t>CROBEX</w:t>
            </w:r>
          </w:p>
        </w:tc>
        <w:tc>
          <w:tcPr>
            <w:tcW w:w="6839" w:type="dxa"/>
            <w:tcBorders>
              <w:top w:val="single" w:sz="4" w:space="0" w:color="auto"/>
              <w:left w:val="nil"/>
              <w:bottom w:val="single" w:sz="4" w:space="0" w:color="auto"/>
              <w:right w:val="nil"/>
            </w:tcBorders>
            <w:noWrap/>
            <w:hideMark/>
          </w:tcPr>
          <w:p w14:paraId="00656D32" w14:textId="77777777" w:rsidR="00A32549" w:rsidRPr="00C07BE5" w:rsidRDefault="00A32549" w:rsidP="00690A51">
            <w:pPr>
              <w:spacing w:after="0" w:line="240" w:lineRule="auto"/>
              <w:rPr>
                <w:rFonts w:cs="Times New Roman"/>
                <w:szCs w:val="24"/>
              </w:rPr>
            </w:pPr>
            <w:r w:rsidRPr="00C07BE5">
              <w:rPr>
                <w:rFonts w:cs="Times New Roman"/>
                <w:szCs w:val="24"/>
              </w:rPr>
              <w:t>Indeks Zagrebačke burze</w:t>
            </w:r>
          </w:p>
        </w:tc>
      </w:tr>
      <w:tr w:rsidR="00A32549" w:rsidRPr="00C07BE5" w14:paraId="48DA3C0C" w14:textId="77777777" w:rsidTr="00690A51">
        <w:trPr>
          <w:trHeight w:val="300"/>
        </w:trPr>
        <w:tc>
          <w:tcPr>
            <w:tcW w:w="2800" w:type="dxa"/>
            <w:tcBorders>
              <w:top w:val="single" w:sz="4" w:space="0" w:color="auto"/>
              <w:left w:val="nil"/>
              <w:bottom w:val="single" w:sz="4" w:space="0" w:color="auto"/>
              <w:right w:val="nil"/>
            </w:tcBorders>
            <w:noWrap/>
            <w:hideMark/>
          </w:tcPr>
          <w:p w14:paraId="75F95A72" w14:textId="77777777" w:rsidR="00A32549" w:rsidRPr="00C07BE5" w:rsidRDefault="00A32549" w:rsidP="00690A51">
            <w:pPr>
              <w:spacing w:after="0" w:line="240" w:lineRule="auto"/>
              <w:rPr>
                <w:rFonts w:cs="Times New Roman"/>
                <w:szCs w:val="24"/>
              </w:rPr>
            </w:pPr>
            <w:r w:rsidRPr="00C07BE5">
              <w:rPr>
                <w:rFonts w:cs="Times New Roman"/>
                <w:szCs w:val="24"/>
              </w:rPr>
              <w:t>DBD</w:t>
            </w:r>
          </w:p>
        </w:tc>
        <w:tc>
          <w:tcPr>
            <w:tcW w:w="6839" w:type="dxa"/>
            <w:tcBorders>
              <w:top w:val="single" w:sz="4" w:space="0" w:color="auto"/>
              <w:left w:val="nil"/>
              <w:bottom w:val="single" w:sz="4" w:space="0" w:color="auto"/>
              <w:right w:val="nil"/>
            </w:tcBorders>
            <w:noWrap/>
            <w:hideMark/>
          </w:tcPr>
          <w:p w14:paraId="7A0FBD33" w14:textId="77777777" w:rsidR="00A32549" w:rsidRPr="00C07BE5" w:rsidRDefault="00A32549" w:rsidP="00690A51">
            <w:pPr>
              <w:spacing w:after="0" w:line="240" w:lineRule="auto"/>
              <w:rPr>
                <w:rFonts w:cs="Times New Roman"/>
                <w:szCs w:val="24"/>
              </w:rPr>
            </w:pPr>
            <w:r w:rsidRPr="00C07BE5">
              <w:rPr>
                <w:rFonts w:cs="Times New Roman"/>
                <w:szCs w:val="24"/>
              </w:rPr>
              <w:t>Deep Borehole Disposal Project</w:t>
            </w:r>
          </w:p>
        </w:tc>
      </w:tr>
      <w:tr w:rsidR="00A32549" w:rsidRPr="00C07BE5" w14:paraId="08385272" w14:textId="77777777" w:rsidTr="00690A51">
        <w:trPr>
          <w:trHeight w:val="300"/>
        </w:trPr>
        <w:tc>
          <w:tcPr>
            <w:tcW w:w="2800" w:type="dxa"/>
            <w:tcBorders>
              <w:top w:val="single" w:sz="4" w:space="0" w:color="auto"/>
              <w:left w:val="nil"/>
              <w:bottom w:val="single" w:sz="4" w:space="0" w:color="auto"/>
              <w:right w:val="nil"/>
            </w:tcBorders>
            <w:noWrap/>
          </w:tcPr>
          <w:p w14:paraId="773E6F33" w14:textId="77777777" w:rsidR="00A32549" w:rsidRPr="00C07BE5" w:rsidRDefault="00A32549" w:rsidP="00690A51">
            <w:pPr>
              <w:spacing w:after="0" w:line="240" w:lineRule="auto"/>
              <w:rPr>
                <w:rFonts w:cs="Times New Roman"/>
                <w:szCs w:val="24"/>
              </w:rPr>
            </w:pPr>
            <w:r w:rsidRPr="00C07BE5">
              <w:rPr>
                <w:rFonts w:cs="Times New Roman"/>
                <w:szCs w:val="24"/>
              </w:rPr>
              <w:t>DPPR</w:t>
            </w:r>
          </w:p>
        </w:tc>
        <w:tc>
          <w:tcPr>
            <w:tcW w:w="6839" w:type="dxa"/>
            <w:tcBorders>
              <w:top w:val="single" w:sz="4" w:space="0" w:color="auto"/>
              <w:left w:val="nil"/>
              <w:bottom w:val="single" w:sz="4" w:space="0" w:color="auto"/>
              <w:right w:val="nil"/>
            </w:tcBorders>
            <w:noWrap/>
          </w:tcPr>
          <w:p w14:paraId="313CE560" w14:textId="77777777" w:rsidR="00A32549" w:rsidRPr="00C07BE5" w:rsidRDefault="00A32549" w:rsidP="00690A51">
            <w:pPr>
              <w:spacing w:after="0" w:line="240" w:lineRule="auto"/>
              <w:rPr>
                <w:rFonts w:cs="Times New Roman"/>
                <w:szCs w:val="24"/>
              </w:rPr>
            </w:pPr>
            <w:r w:rsidRPr="00C07BE5">
              <w:rPr>
                <w:rFonts w:cs="Times New Roman"/>
                <w:szCs w:val="24"/>
              </w:rPr>
              <w:t>Državni plan prostornog razvoja</w:t>
            </w:r>
          </w:p>
        </w:tc>
      </w:tr>
      <w:tr w:rsidR="00A32549" w:rsidRPr="00C07BE5" w14:paraId="66514E71" w14:textId="77777777" w:rsidTr="00690A51">
        <w:trPr>
          <w:trHeight w:val="300"/>
        </w:trPr>
        <w:tc>
          <w:tcPr>
            <w:tcW w:w="2800" w:type="dxa"/>
            <w:tcBorders>
              <w:top w:val="single" w:sz="4" w:space="0" w:color="auto"/>
              <w:left w:val="nil"/>
              <w:bottom w:val="single" w:sz="4" w:space="0" w:color="auto"/>
              <w:right w:val="nil"/>
            </w:tcBorders>
            <w:noWrap/>
          </w:tcPr>
          <w:p w14:paraId="73BF8639" w14:textId="77777777" w:rsidR="00A32549" w:rsidRPr="00C07BE5" w:rsidRDefault="00A32549" w:rsidP="00690A51">
            <w:pPr>
              <w:spacing w:after="0" w:line="240" w:lineRule="auto"/>
              <w:rPr>
                <w:rFonts w:cs="Times New Roman"/>
                <w:szCs w:val="24"/>
              </w:rPr>
            </w:pPr>
            <w:r w:rsidRPr="00C07BE5">
              <w:rPr>
                <w:rFonts w:cs="Times New Roman"/>
                <w:szCs w:val="24"/>
              </w:rPr>
              <w:t>ECB</w:t>
            </w:r>
          </w:p>
        </w:tc>
        <w:tc>
          <w:tcPr>
            <w:tcW w:w="6839" w:type="dxa"/>
            <w:tcBorders>
              <w:top w:val="single" w:sz="4" w:space="0" w:color="auto"/>
              <w:left w:val="nil"/>
              <w:bottom w:val="single" w:sz="4" w:space="0" w:color="auto"/>
              <w:right w:val="nil"/>
            </w:tcBorders>
            <w:noWrap/>
          </w:tcPr>
          <w:p w14:paraId="158D3C5C" w14:textId="77777777" w:rsidR="00A32549" w:rsidRPr="00C07BE5" w:rsidRDefault="00A32549" w:rsidP="00690A51">
            <w:pPr>
              <w:spacing w:after="0" w:line="240" w:lineRule="auto"/>
              <w:rPr>
                <w:rFonts w:cs="Times New Roman"/>
                <w:szCs w:val="24"/>
              </w:rPr>
            </w:pPr>
            <w:r w:rsidRPr="00C07BE5">
              <w:rPr>
                <w:rFonts w:cs="Times New Roman"/>
                <w:szCs w:val="24"/>
              </w:rPr>
              <w:t>Europska središnja banka</w:t>
            </w:r>
          </w:p>
        </w:tc>
      </w:tr>
      <w:tr w:rsidR="00A32549" w:rsidRPr="00C07BE5" w14:paraId="28588719" w14:textId="77777777" w:rsidTr="00690A51">
        <w:trPr>
          <w:trHeight w:val="300"/>
        </w:trPr>
        <w:tc>
          <w:tcPr>
            <w:tcW w:w="2800" w:type="dxa"/>
            <w:tcBorders>
              <w:top w:val="single" w:sz="4" w:space="0" w:color="auto"/>
              <w:left w:val="nil"/>
              <w:bottom w:val="single" w:sz="4" w:space="0" w:color="auto"/>
              <w:right w:val="nil"/>
            </w:tcBorders>
            <w:noWrap/>
            <w:hideMark/>
          </w:tcPr>
          <w:p w14:paraId="583B27A8" w14:textId="77777777" w:rsidR="00A32549" w:rsidRPr="00C07BE5" w:rsidRDefault="00A32549" w:rsidP="00690A51">
            <w:pPr>
              <w:spacing w:after="0" w:line="240" w:lineRule="auto"/>
              <w:rPr>
                <w:rFonts w:cs="Times New Roman"/>
                <w:szCs w:val="24"/>
              </w:rPr>
            </w:pPr>
            <w:r w:rsidRPr="00C07BE5">
              <w:rPr>
                <w:rFonts w:cs="Times New Roman"/>
                <w:szCs w:val="24"/>
              </w:rPr>
              <w:t>ERDO</w:t>
            </w:r>
          </w:p>
        </w:tc>
        <w:tc>
          <w:tcPr>
            <w:tcW w:w="6839" w:type="dxa"/>
            <w:tcBorders>
              <w:top w:val="single" w:sz="4" w:space="0" w:color="auto"/>
              <w:left w:val="nil"/>
              <w:bottom w:val="single" w:sz="4" w:space="0" w:color="auto"/>
              <w:right w:val="nil"/>
            </w:tcBorders>
            <w:noWrap/>
            <w:hideMark/>
          </w:tcPr>
          <w:p w14:paraId="706D335E" w14:textId="77777777" w:rsidR="00A32549" w:rsidRPr="00C07BE5" w:rsidRDefault="00A32549" w:rsidP="00690A51">
            <w:pPr>
              <w:spacing w:after="0" w:line="240" w:lineRule="auto"/>
              <w:rPr>
                <w:rFonts w:cs="Times New Roman"/>
                <w:szCs w:val="24"/>
              </w:rPr>
            </w:pPr>
            <w:r w:rsidRPr="00C07BE5">
              <w:rPr>
                <w:rFonts w:cs="Times New Roman"/>
                <w:szCs w:val="24"/>
              </w:rPr>
              <w:t>European Repository Development Organisation</w:t>
            </w:r>
          </w:p>
        </w:tc>
      </w:tr>
      <w:tr w:rsidR="00A32549" w:rsidRPr="00C07BE5" w14:paraId="4D0865EB" w14:textId="77777777" w:rsidTr="00690A51">
        <w:trPr>
          <w:trHeight w:val="300"/>
        </w:trPr>
        <w:tc>
          <w:tcPr>
            <w:tcW w:w="2800" w:type="dxa"/>
            <w:tcBorders>
              <w:top w:val="single" w:sz="4" w:space="0" w:color="auto"/>
              <w:left w:val="nil"/>
              <w:bottom w:val="single" w:sz="4" w:space="0" w:color="auto"/>
              <w:right w:val="nil"/>
            </w:tcBorders>
            <w:noWrap/>
          </w:tcPr>
          <w:p w14:paraId="67439DED" w14:textId="77777777" w:rsidR="00A32549" w:rsidRPr="00C07BE5" w:rsidRDefault="00A32549" w:rsidP="00690A51">
            <w:pPr>
              <w:spacing w:after="0" w:line="240" w:lineRule="auto"/>
              <w:rPr>
                <w:rFonts w:cs="Times New Roman"/>
                <w:szCs w:val="24"/>
              </w:rPr>
            </w:pPr>
            <w:r w:rsidRPr="00C07BE5">
              <w:rPr>
                <w:rFonts w:cs="Times New Roman"/>
                <w:szCs w:val="24"/>
              </w:rPr>
              <w:t>ESB</w:t>
            </w:r>
          </w:p>
        </w:tc>
        <w:tc>
          <w:tcPr>
            <w:tcW w:w="6839" w:type="dxa"/>
            <w:tcBorders>
              <w:top w:val="single" w:sz="4" w:space="0" w:color="auto"/>
              <w:left w:val="nil"/>
              <w:bottom w:val="single" w:sz="4" w:space="0" w:color="auto"/>
              <w:right w:val="nil"/>
            </w:tcBorders>
            <w:noWrap/>
          </w:tcPr>
          <w:p w14:paraId="280E70C1" w14:textId="77777777" w:rsidR="00A32549" w:rsidRPr="00C07BE5" w:rsidRDefault="00A32549" w:rsidP="00690A51">
            <w:pPr>
              <w:spacing w:after="0" w:line="240" w:lineRule="auto"/>
              <w:rPr>
                <w:rFonts w:cs="Times New Roman"/>
                <w:szCs w:val="24"/>
              </w:rPr>
            </w:pPr>
            <w:r w:rsidRPr="00C07BE5">
              <w:rPr>
                <w:rFonts w:cs="Times New Roman"/>
                <w:szCs w:val="24"/>
              </w:rPr>
              <w:t xml:space="preserve">Europska središnja banka </w:t>
            </w:r>
          </w:p>
        </w:tc>
      </w:tr>
      <w:tr w:rsidR="00A32549" w:rsidRPr="00C07BE5" w14:paraId="59CF1DF9" w14:textId="77777777" w:rsidTr="00690A51">
        <w:trPr>
          <w:trHeight w:val="300"/>
        </w:trPr>
        <w:tc>
          <w:tcPr>
            <w:tcW w:w="2800" w:type="dxa"/>
            <w:tcBorders>
              <w:top w:val="single" w:sz="4" w:space="0" w:color="auto"/>
              <w:left w:val="nil"/>
              <w:bottom w:val="single" w:sz="4" w:space="0" w:color="auto"/>
              <w:right w:val="nil"/>
            </w:tcBorders>
            <w:noWrap/>
            <w:hideMark/>
          </w:tcPr>
          <w:p w14:paraId="563ABEFD" w14:textId="77777777" w:rsidR="00A32549" w:rsidRPr="00C07BE5" w:rsidRDefault="00A32549" w:rsidP="00690A51">
            <w:pPr>
              <w:spacing w:after="0" w:line="240" w:lineRule="auto"/>
              <w:rPr>
                <w:rFonts w:cs="Times New Roman"/>
                <w:szCs w:val="24"/>
              </w:rPr>
            </w:pPr>
            <w:r w:rsidRPr="00C07BE5">
              <w:rPr>
                <w:rFonts w:cs="Times New Roman"/>
                <w:szCs w:val="24"/>
              </w:rPr>
              <w:t>EUR</w:t>
            </w:r>
          </w:p>
        </w:tc>
        <w:tc>
          <w:tcPr>
            <w:tcW w:w="6839" w:type="dxa"/>
            <w:tcBorders>
              <w:top w:val="single" w:sz="4" w:space="0" w:color="auto"/>
              <w:left w:val="nil"/>
              <w:bottom w:val="single" w:sz="4" w:space="0" w:color="auto"/>
              <w:right w:val="nil"/>
            </w:tcBorders>
            <w:noWrap/>
            <w:hideMark/>
          </w:tcPr>
          <w:p w14:paraId="26BDC8DA" w14:textId="77777777" w:rsidR="00A32549" w:rsidRPr="00C07BE5" w:rsidRDefault="00A32549" w:rsidP="00690A51">
            <w:pPr>
              <w:spacing w:after="0" w:line="240" w:lineRule="auto"/>
              <w:rPr>
                <w:rFonts w:cs="Times New Roman"/>
                <w:szCs w:val="24"/>
              </w:rPr>
            </w:pPr>
            <w:r w:rsidRPr="00C07BE5">
              <w:rPr>
                <w:rFonts w:cs="Times New Roman"/>
                <w:szCs w:val="24"/>
              </w:rPr>
              <w:t>Euro</w:t>
            </w:r>
          </w:p>
        </w:tc>
      </w:tr>
      <w:tr w:rsidR="00A32549" w:rsidRPr="00C07BE5" w14:paraId="65E82C05" w14:textId="77777777" w:rsidTr="00690A51">
        <w:trPr>
          <w:trHeight w:val="300"/>
        </w:trPr>
        <w:tc>
          <w:tcPr>
            <w:tcW w:w="2800" w:type="dxa"/>
            <w:tcBorders>
              <w:top w:val="single" w:sz="4" w:space="0" w:color="auto"/>
              <w:left w:val="nil"/>
              <w:bottom w:val="single" w:sz="4" w:space="0" w:color="auto"/>
              <w:right w:val="nil"/>
            </w:tcBorders>
            <w:noWrap/>
          </w:tcPr>
          <w:p w14:paraId="79BDBDEF" w14:textId="77777777" w:rsidR="00A32549" w:rsidRPr="00C07BE5" w:rsidRDefault="00A32549" w:rsidP="00690A51">
            <w:pPr>
              <w:spacing w:after="0" w:line="240" w:lineRule="auto"/>
              <w:rPr>
                <w:rFonts w:cs="Times New Roman"/>
                <w:szCs w:val="24"/>
              </w:rPr>
            </w:pPr>
            <w:r w:rsidRPr="00C07BE5">
              <w:rPr>
                <w:rFonts w:cs="Times New Roman"/>
                <w:szCs w:val="24"/>
              </w:rPr>
              <w:t>Euro Stoxx 50</w:t>
            </w:r>
          </w:p>
        </w:tc>
        <w:tc>
          <w:tcPr>
            <w:tcW w:w="6839" w:type="dxa"/>
            <w:tcBorders>
              <w:top w:val="single" w:sz="4" w:space="0" w:color="auto"/>
              <w:left w:val="nil"/>
              <w:bottom w:val="single" w:sz="4" w:space="0" w:color="auto"/>
              <w:right w:val="nil"/>
            </w:tcBorders>
            <w:noWrap/>
          </w:tcPr>
          <w:p w14:paraId="7F2C69EA" w14:textId="77777777" w:rsidR="00A32549" w:rsidRPr="00C07BE5" w:rsidRDefault="00A32549" w:rsidP="00690A51">
            <w:pPr>
              <w:spacing w:after="0" w:line="240" w:lineRule="auto"/>
              <w:rPr>
                <w:rFonts w:cs="Times New Roman"/>
                <w:szCs w:val="24"/>
              </w:rPr>
            </w:pPr>
            <w:r w:rsidRPr="00C07BE5">
              <w:rPr>
                <w:rFonts w:cs="Times New Roman"/>
                <w:szCs w:val="24"/>
              </w:rPr>
              <w:t xml:space="preserve">Burzovni indeks koji prati kretanje cijena 50 dionica iz 11 država članica Eurozone </w:t>
            </w:r>
          </w:p>
        </w:tc>
      </w:tr>
      <w:tr w:rsidR="00A32549" w:rsidRPr="00C07BE5" w14:paraId="224E48F9" w14:textId="77777777" w:rsidTr="00690A51">
        <w:trPr>
          <w:trHeight w:val="300"/>
        </w:trPr>
        <w:tc>
          <w:tcPr>
            <w:tcW w:w="2800" w:type="dxa"/>
            <w:tcBorders>
              <w:top w:val="single" w:sz="4" w:space="0" w:color="auto"/>
              <w:left w:val="nil"/>
              <w:bottom w:val="single" w:sz="4" w:space="0" w:color="auto"/>
              <w:right w:val="nil"/>
            </w:tcBorders>
            <w:noWrap/>
          </w:tcPr>
          <w:p w14:paraId="16ED98F5" w14:textId="77777777" w:rsidR="00A32549" w:rsidRPr="00C07BE5" w:rsidRDefault="00A32549" w:rsidP="00690A51">
            <w:pPr>
              <w:spacing w:after="0" w:line="240" w:lineRule="auto"/>
              <w:rPr>
                <w:rFonts w:cs="Times New Roman"/>
                <w:szCs w:val="24"/>
              </w:rPr>
            </w:pPr>
            <w:r w:rsidRPr="00C07BE5">
              <w:rPr>
                <w:rFonts w:cs="Times New Roman"/>
                <w:szCs w:val="24"/>
              </w:rPr>
              <w:t>FED</w:t>
            </w:r>
          </w:p>
        </w:tc>
        <w:tc>
          <w:tcPr>
            <w:tcW w:w="6839" w:type="dxa"/>
            <w:tcBorders>
              <w:top w:val="single" w:sz="4" w:space="0" w:color="auto"/>
              <w:left w:val="nil"/>
              <w:bottom w:val="single" w:sz="4" w:space="0" w:color="auto"/>
              <w:right w:val="nil"/>
            </w:tcBorders>
            <w:noWrap/>
          </w:tcPr>
          <w:p w14:paraId="34119A04" w14:textId="77777777" w:rsidR="00A32549" w:rsidRPr="00C07BE5" w:rsidRDefault="00A32549" w:rsidP="00690A51">
            <w:pPr>
              <w:spacing w:after="0" w:line="240" w:lineRule="auto"/>
              <w:rPr>
                <w:rFonts w:cs="Times New Roman"/>
                <w:szCs w:val="24"/>
              </w:rPr>
            </w:pPr>
            <w:r w:rsidRPr="00C07BE5">
              <w:rPr>
                <w:rFonts w:cs="Times New Roman"/>
                <w:szCs w:val="24"/>
              </w:rPr>
              <w:t xml:space="preserve">Sustav federalnih rezervi  </w:t>
            </w:r>
          </w:p>
        </w:tc>
      </w:tr>
      <w:tr w:rsidR="00A32549" w:rsidRPr="00C07BE5" w14:paraId="62FA616B" w14:textId="77777777" w:rsidTr="00690A51">
        <w:trPr>
          <w:trHeight w:val="900"/>
        </w:trPr>
        <w:tc>
          <w:tcPr>
            <w:tcW w:w="2800" w:type="dxa"/>
            <w:tcBorders>
              <w:top w:val="single" w:sz="4" w:space="0" w:color="auto"/>
              <w:left w:val="nil"/>
              <w:bottom w:val="single" w:sz="4" w:space="0" w:color="auto"/>
              <w:right w:val="nil"/>
            </w:tcBorders>
            <w:noWrap/>
            <w:hideMark/>
          </w:tcPr>
          <w:p w14:paraId="305230CE" w14:textId="77777777" w:rsidR="00A32549" w:rsidRPr="00C07BE5" w:rsidRDefault="00A32549" w:rsidP="00690A51">
            <w:pPr>
              <w:spacing w:after="0" w:line="240" w:lineRule="auto"/>
              <w:rPr>
                <w:rFonts w:cs="Times New Roman"/>
                <w:szCs w:val="24"/>
              </w:rPr>
            </w:pPr>
            <w:r w:rsidRPr="00C07BE5">
              <w:rPr>
                <w:rFonts w:cs="Times New Roman"/>
                <w:szCs w:val="24"/>
              </w:rPr>
              <w:t>Fond</w:t>
            </w:r>
          </w:p>
        </w:tc>
        <w:tc>
          <w:tcPr>
            <w:tcW w:w="6839" w:type="dxa"/>
            <w:tcBorders>
              <w:top w:val="single" w:sz="4" w:space="0" w:color="auto"/>
              <w:left w:val="nil"/>
              <w:bottom w:val="single" w:sz="4" w:space="0" w:color="auto"/>
              <w:right w:val="nil"/>
            </w:tcBorders>
            <w:hideMark/>
          </w:tcPr>
          <w:p w14:paraId="5C271917" w14:textId="77777777" w:rsidR="00A32549" w:rsidRPr="00C07BE5" w:rsidRDefault="00A32549" w:rsidP="00690A51">
            <w:pPr>
              <w:spacing w:after="0" w:line="240" w:lineRule="auto"/>
              <w:rPr>
                <w:rFonts w:cs="Times New Roman"/>
                <w:szCs w:val="24"/>
              </w:rPr>
            </w:pPr>
            <w:r w:rsidRPr="00C07BE5">
              <w:rPr>
                <w:rFonts w:cs="Times New Roman"/>
                <w:szCs w:val="24"/>
              </w:rPr>
              <w:t>Fond za financiranje razgradnje i zbrinjavanja radioaktivnog otpada i istrošenoga nuklearnog goriva Nuklearne elektrane Krško (kraće: Fond za financiranje razgradnje NEK)</w:t>
            </w:r>
          </w:p>
        </w:tc>
      </w:tr>
      <w:tr w:rsidR="00A32549" w:rsidRPr="00C07BE5" w14:paraId="4C4EDF84" w14:textId="77777777" w:rsidTr="00690A51">
        <w:trPr>
          <w:trHeight w:val="900"/>
        </w:trPr>
        <w:tc>
          <w:tcPr>
            <w:tcW w:w="2800" w:type="dxa"/>
            <w:tcBorders>
              <w:top w:val="single" w:sz="4" w:space="0" w:color="auto"/>
              <w:left w:val="nil"/>
              <w:bottom w:val="single" w:sz="4" w:space="0" w:color="auto"/>
              <w:right w:val="nil"/>
            </w:tcBorders>
            <w:noWrap/>
            <w:hideMark/>
          </w:tcPr>
          <w:p w14:paraId="38A79B47" w14:textId="77777777" w:rsidR="00A32549" w:rsidRPr="00C07BE5" w:rsidRDefault="00A32549" w:rsidP="00690A51">
            <w:pPr>
              <w:spacing w:after="0" w:line="240" w:lineRule="auto"/>
              <w:rPr>
                <w:rFonts w:cs="Times New Roman"/>
                <w:szCs w:val="24"/>
              </w:rPr>
            </w:pPr>
            <w:r w:rsidRPr="00C07BE5">
              <w:rPr>
                <w:rFonts w:cs="Times New Roman"/>
                <w:szCs w:val="24"/>
              </w:rPr>
              <w:t>Grupa 3</w:t>
            </w:r>
          </w:p>
        </w:tc>
        <w:tc>
          <w:tcPr>
            <w:tcW w:w="6839" w:type="dxa"/>
            <w:tcBorders>
              <w:top w:val="single" w:sz="4" w:space="0" w:color="auto"/>
              <w:left w:val="nil"/>
              <w:bottom w:val="single" w:sz="4" w:space="0" w:color="auto"/>
              <w:right w:val="nil"/>
            </w:tcBorders>
            <w:hideMark/>
          </w:tcPr>
          <w:p w14:paraId="10FCC644" w14:textId="77777777" w:rsidR="00A32549" w:rsidRPr="00C07BE5" w:rsidRDefault="00A32549" w:rsidP="00690A51">
            <w:pPr>
              <w:spacing w:after="0" w:line="240" w:lineRule="auto"/>
              <w:rPr>
                <w:rFonts w:cs="Times New Roman"/>
                <w:szCs w:val="24"/>
              </w:rPr>
            </w:pPr>
            <w:r w:rsidRPr="00C07BE5">
              <w:rPr>
                <w:rFonts w:cs="Times New Roman"/>
                <w:szCs w:val="24"/>
              </w:rPr>
              <w:t>Usluge izrade projektne dokumentacije, sigurnosnih analiza i studije utjecaja na okoliš za potrebe uspostave Centra za zbrinjavanje radioaktivnog otpada</w:t>
            </w:r>
          </w:p>
        </w:tc>
      </w:tr>
      <w:tr w:rsidR="00A32549" w:rsidRPr="00C07BE5" w14:paraId="16E50A98" w14:textId="77777777" w:rsidTr="00690A51">
        <w:trPr>
          <w:trHeight w:val="300"/>
        </w:trPr>
        <w:tc>
          <w:tcPr>
            <w:tcW w:w="2800" w:type="dxa"/>
            <w:tcBorders>
              <w:top w:val="single" w:sz="4" w:space="0" w:color="auto"/>
              <w:left w:val="nil"/>
              <w:bottom w:val="single" w:sz="4" w:space="0" w:color="auto"/>
              <w:right w:val="nil"/>
            </w:tcBorders>
            <w:noWrap/>
            <w:hideMark/>
          </w:tcPr>
          <w:p w14:paraId="08E1A95E" w14:textId="77777777" w:rsidR="00A32549" w:rsidRPr="00C07BE5" w:rsidRDefault="00A32549" w:rsidP="00690A51">
            <w:pPr>
              <w:spacing w:after="0" w:line="240" w:lineRule="auto"/>
              <w:rPr>
                <w:rFonts w:cs="Times New Roman"/>
                <w:szCs w:val="24"/>
              </w:rPr>
            </w:pPr>
            <w:r w:rsidRPr="00C07BE5">
              <w:rPr>
                <w:rFonts w:cs="Times New Roman"/>
                <w:szCs w:val="24"/>
              </w:rPr>
              <w:t>HEP</w:t>
            </w:r>
          </w:p>
        </w:tc>
        <w:tc>
          <w:tcPr>
            <w:tcW w:w="6839" w:type="dxa"/>
            <w:tcBorders>
              <w:top w:val="single" w:sz="4" w:space="0" w:color="auto"/>
              <w:left w:val="nil"/>
              <w:bottom w:val="single" w:sz="4" w:space="0" w:color="auto"/>
              <w:right w:val="nil"/>
            </w:tcBorders>
            <w:noWrap/>
            <w:hideMark/>
          </w:tcPr>
          <w:p w14:paraId="542B2987" w14:textId="77777777" w:rsidR="00A32549" w:rsidRPr="00C07BE5" w:rsidRDefault="00A32549" w:rsidP="00690A51">
            <w:pPr>
              <w:spacing w:after="0" w:line="240" w:lineRule="auto"/>
              <w:rPr>
                <w:rFonts w:cs="Times New Roman"/>
                <w:szCs w:val="24"/>
              </w:rPr>
            </w:pPr>
            <w:r w:rsidRPr="00C07BE5">
              <w:rPr>
                <w:rFonts w:cs="Times New Roman"/>
                <w:szCs w:val="24"/>
              </w:rPr>
              <w:t>Hrvatska elektroprivreda d.d.</w:t>
            </w:r>
          </w:p>
        </w:tc>
      </w:tr>
      <w:tr w:rsidR="00A32549" w:rsidRPr="00C07BE5" w14:paraId="189E8A3C" w14:textId="77777777" w:rsidTr="00690A51">
        <w:trPr>
          <w:trHeight w:val="600"/>
        </w:trPr>
        <w:tc>
          <w:tcPr>
            <w:tcW w:w="2800" w:type="dxa"/>
            <w:tcBorders>
              <w:top w:val="single" w:sz="4" w:space="0" w:color="auto"/>
              <w:left w:val="nil"/>
              <w:bottom w:val="single" w:sz="4" w:space="0" w:color="auto"/>
              <w:right w:val="nil"/>
            </w:tcBorders>
            <w:noWrap/>
            <w:hideMark/>
          </w:tcPr>
          <w:p w14:paraId="6BD427EE" w14:textId="77777777" w:rsidR="00A32549" w:rsidRPr="00C07BE5" w:rsidRDefault="00A32549" w:rsidP="00690A51">
            <w:pPr>
              <w:spacing w:after="0" w:line="240" w:lineRule="auto"/>
              <w:rPr>
                <w:rFonts w:cs="Times New Roman"/>
                <w:szCs w:val="24"/>
              </w:rPr>
            </w:pPr>
            <w:r w:rsidRPr="00C07BE5">
              <w:rPr>
                <w:rFonts w:cs="Times New Roman"/>
                <w:szCs w:val="24"/>
              </w:rPr>
              <w:t>IAEA</w:t>
            </w:r>
          </w:p>
        </w:tc>
        <w:tc>
          <w:tcPr>
            <w:tcW w:w="6839" w:type="dxa"/>
            <w:tcBorders>
              <w:top w:val="single" w:sz="4" w:space="0" w:color="auto"/>
              <w:left w:val="nil"/>
              <w:bottom w:val="single" w:sz="4" w:space="0" w:color="auto"/>
              <w:right w:val="nil"/>
            </w:tcBorders>
            <w:hideMark/>
          </w:tcPr>
          <w:p w14:paraId="450CD6F0" w14:textId="77777777" w:rsidR="00A32549" w:rsidRPr="00C07BE5" w:rsidRDefault="00A32549" w:rsidP="00690A51">
            <w:pPr>
              <w:spacing w:after="0" w:line="240" w:lineRule="auto"/>
              <w:rPr>
                <w:rFonts w:cs="Times New Roman"/>
                <w:szCs w:val="24"/>
              </w:rPr>
            </w:pPr>
            <w:r w:rsidRPr="00C07BE5">
              <w:rPr>
                <w:rFonts w:cs="Times New Roman"/>
                <w:szCs w:val="24"/>
              </w:rPr>
              <w:t>Međunarodna agencija za atomsku energiju (International Atomic Energy Agency)</w:t>
            </w:r>
          </w:p>
        </w:tc>
      </w:tr>
      <w:tr w:rsidR="00A32549" w:rsidRPr="00C07BE5" w14:paraId="14B471C3" w14:textId="77777777" w:rsidTr="00690A51">
        <w:trPr>
          <w:trHeight w:val="300"/>
        </w:trPr>
        <w:tc>
          <w:tcPr>
            <w:tcW w:w="2800" w:type="dxa"/>
            <w:tcBorders>
              <w:top w:val="single" w:sz="4" w:space="0" w:color="auto"/>
              <w:left w:val="nil"/>
              <w:bottom w:val="single" w:sz="4" w:space="0" w:color="auto"/>
              <w:right w:val="nil"/>
            </w:tcBorders>
            <w:noWrap/>
            <w:hideMark/>
          </w:tcPr>
          <w:p w14:paraId="1529D97F" w14:textId="77777777" w:rsidR="00A32549" w:rsidRPr="00C07BE5" w:rsidRDefault="00A32549" w:rsidP="00690A51">
            <w:pPr>
              <w:spacing w:after="0" w:line="240" w:lineRule="auto"/>
              <w:rPr>
                <w:rFonts w:cs="Times New Roman"/>
                <w:szCs w:val="24"/>
              </w:rPr>
            </w:pPr>
            <w:r w:rsidRPr="00C07BE5">
              <w:rPr>
                <w:rFonts w:cs="Times New Roman"/>
                <w:szCs w:val="24"/>
              </w:rPr>
              <w:t>II</w:t>
            </w:r>
          </w:p>
        </w:tc>
        <w:tc>
          <w:tcPr>
            <w:tcW w:w="6839" w:type="dxa"/>
            <w:tcBorders>
              <w:top w:val="single" w:sz="4" w:space="0" w:color="auto"/>
              <w:left w:val="nil"/>
              <w:bottom w:val="single" w:sz="4" w:space="0" w:color="auto"/>
              <w:right w:val="nil"/>
            </w:tcBorders>
            <w:noWrap/>
            <w:hideMark/>
          </w:tcPr>
          <w:p w14:paraId="01898B5F" w14:textId="77777777" w:rsidR="00A32549" w:rsidRPr="00C07BE5" w:rsidRDefault="00A32549" w:rsidP="00690A51">
            <w:pPr>
              <w:spacing w:after="0" w:line="240" w:lineRule="auto"/>
              <w:rPr>
                <w:rFonts w:cs="Times New Roman"/>
                <w:szCs w:val="24"/>
              </w:rPr>
            </w:pPr>
            <w:r w:rsidRPr="00C07BE5">
              <w:rPr>
                <w:rFonts w:cs="Times New Roman"/>
                <w:szCs w:val="24"/>
              </w:rPr>
              <w:t>iskorišteni izvori</w:t>
            </w:r>
          </w:p>
        </w:tc>
      </w:tr>
      <w:tr w:rsidR="00A32549" w:rsidRPr="00C07BE5" w14:paraId="12DB2FB6" w14:textId="77777777" w:rsidTr="00690A51">
        <w:trPr>
          <w:trHeight w:val="300"/>
        </w:trPr>
        <w:tc>
          <w:tcPr>
            <w:tcW w:w="2800" w:type="dxa"/>
            <w:tcBorders>
              <w:top w:val="single" w:sz="4" w:space="0" w:color="auto"/>
              <w:left w:val="nil"/>
              <w:bottom w:val="single" w:sz="4" w:space="0" w:color="auto"/>
              <w:right w:val="nil"/>
            </w:tcBorders>
            <w:noWrap/>
            <w:hideMark/>
          </w:tcPr>
          <w:p w14:paraId="4AE0E52F" w14:textId="77777777" w:rsidR="00A32549" w:rsidRPr="00C07BE5" w:rsidRDefault="00A32549" w:rsidP="00690A51">
            <w:pPr>
              <w:spacing w:after="0" w:line="240" w:lineRule="auto"/>
              <w:rPr>
                <w:rFonts w:cs="Times New Roman"/>
                <w:szCs w:val="24"/>
              </w:rPr>
            </w:pPr>
            <w:r w:rsidRPr="00C07BE5">
              <w:rPr>
                <w:rFonts w:cs="Times New Roman"/>
                <w:szCs w:val="24"/>
              </w:rPr>
              <w:t>ING</w:t>
            </w:r>
          </w:p>
        </w:tc>
        <w:tc>
          <w:tcPr>
            <w:tcW w:w="6839" w:type="dxa"/>
            <w:tcBorders>
              <w:top w:val="single" w:sz="4" w:space="0" w:color="auto"/>
              <w:left w:val="nil"/>
              <w:bottom w:val="single" w:sz="4" w:space="0" w:color="auto"/>
              <w:right w:val="nil"/>
            </w:tcBorders>
            <w:noWrap/>
            <w:hideMark/>
          </w:tcPr>
          <w:p w14:paraId="30C50EF2" w14:textId="77777777" w:rsidR="00A32549" w:rsidRPr="00C07BE5" w:rsidRDefault="00A32549" w:rsidP="00690A51">
            <w:pPr>
              <w:spacing w:after="0" w:line="240" w:lineRule="auto"/>
              <w:rPr>
                <w:rFonts w:cs="Times New Roman"/>
                <w:szCs w:val="24"/>
              </w:rPr>
            </w:pPr>
            <w:r w:rsidRPr="00C07BE5">
              <w:rPr>
                <w:rFonts w:cs="Times New Roman"/>
                <w:szCs w:val="24"/>
              </w:rPr>
              <w:t>istrošeno nuklearno gorivo</w:t>
            </w:r>
          </w:p>
        </w:tc>
      </w:tr>
      <w:tr w:rsidR="00A32549" w:rsidRPr="00C07BE5" w14:paraId="76DE1B7E" w14:textId="77777777" w:rsidTr="00690A51">
        <w:trPr>
          <w:trHeight w:val="300"/>
        </w:trPr>
        <w:tc>
          <w:tcPr>
            <w:tcW w:w="2800" w:type="dxa"/>
            <w:tcBorders>
              <w:top w:val="single" w:sz="4" w:space="0" w:color="auto"/>
              <w:left w:val="nil"/>
              <w:bottom w:val="single" w:sz="4" w:space="0" w:color="auto"/>
              <w:right w:val="nil"/>
            </w:tcBorders>
            <w:noWrap/>
            <w:hideMark/>
          </w:tcPr>
          <w:p w14:paraId="7DC20BC4" w14:textId="77777777" w:rsidR="00A32549" w:rsidRPr="00C07BE5" w:rsidRDefault="00A32549" w:rsidP="00690A51">
            <w:pPr>
              <w:spacing w:after="0" w:line="240" w:lineRule="auto"/>
              <w:rPr>
                <w:rFonts w:cs="Times New Roman"/>
                <w:szCs w:val="24"/>
              </w:rPr>
            </w:pPr>
            <w:r w:rsidRPr="00C07BE5">
              <w:rPr>
                <w:rFonts w:cs="Times New Roman"/>
                <w:szCs w:val="24"/>
              </w:rPr>
              <w:t>IRAO</w:t>
            </w:r>
          </w:p>
        </w:tc>
        <w:tc>
          <w:tcPr>
            <w:tcW w:w="6839" w:type="dxa"/>
            <w:tcBorders>
              <w:top w:val="single" w:sz="4" w:space="0" w:color="auto"/>
              <w:left w:val="nil"/>
              <w:bottom w:val="single" w:sz="4" w:space="0" w:color="auto"/>
              <w:right w:val="nil"/>
            </w:tcBorders>
            <w:noWrap/>
            <w:hideMark/>
          </w:tcPr>
          <w:p w14:paraId="184A5651" w14:textId="77777777" w:rsidR="00A32549" w:rsidRPr="00C07BE5" w:rsidRDefault="00A32549" w:rsidP="00690A51">
            <w:pPr>
              <w:spacing w:after="0" w:line="240" w:lineRule="auto"/>
              <w:rPr>
                <w:rFonts w:cs="Times New Roman"/>
                <w:szCs w:val="24"/>
              </w:rPr>
            </w:pPr>
            <w:r w:rsidRPr="00C07BE5">
              <w:rPr>
                <w:rFonts w:cs="Times New Roman"/>
                <w:szCs w:val="24"/>
              </w:rPr>
              <w:t>institucionalni radioaktivni otpad</w:t>
            </w:r>
          </w:p>
        </w:tc>
      </w:tr>
      <w:tr w:rsidR="00A32549" w:rsidRPr="00C07BE5" w14:paraId="597E6DB2" w14:textId="77777777" w:rsidTr="00690A51">
        <w:trPr>
          <w:trHeight w:val="300"/>
        </w:trPr>
        <w:tc>
          <w:tcPr>
            <w:tcW w:w="2800" w:type="dxa"/>
            <w:tcBorders>
              <w:top w:val="single" w:sz="4" w:space="0" w:color="auto"/>
              <w:left w:val="nil"/>
              <w:bottom w:val="single" w:sz="4" w:space="0" w:color="auto"/>
              <w:right w:val="nil"/>
            </w:tcBorders>
            <w:noWrap/>
          </w:tcPr>
          <w:p w14:paraId="41D1A836" w14:textId="77777777" w:rsidR="00A32549" w:rsidRPr="00C07BE5" w:rsidRDefault="00A32549" w:rsidP="00690A51">
            <w:pPr>
              <w:spacing w:after="0" w:line="240" w:lineRule="auto"/>
              <w:rPr>
                <w:rFonts w:cs="Times New Roman"/>
                <w:szCs w:val="24"/>
              </w:rPr>
            </w:pPr>
            <w:r w:rsidRPr="00C07BE5">
              <w:rPr>
                <w:rFonts w:cs="Times New Roman"/>
                <w:szCs w:val="24"/>
              </w:rPr>
              <w:t>IRB</w:t>
            </w:r>
          </w:p>
        </w:tc>
        <w:tc>
          <w:tcPr>
            <w:tcW w:w="6839" w:type="dxa"/>
            <w:tcBorders>
              <w:top w:val="single" w:sz="4" w:space="0" w:color="auto"/>
              <w:left w:val="nil"/>
              <w:bottom w:val="single" w:sz="4" w:space="0" w:color="auto"/>
              <w:right w:val="nil"/>
            </w:tcBorders>
            <w:noWrap/>
          </w:tcPr>
          <w:p w14:paraId="232EE7C6" w14:textId="77777777" w:rsidR="00A32549" w:rsidRPr="00C07BE5" w:rsidRDefault="00A32549" w:rsidP="00690A51">
            <w:pPr>
              <w:spacing w:after="0" w:line="240" w:lineRule="auto"/>
              <w:rPr>
                <w:rFonts w:cs="Times New Roman"/>
                <w:szCs w:val="24"/>
              </w:rPr>
            </w:pPr>
            <w:r w:rsidRPr="00C07BE5">
              <w:rPr>
                <w:rFonts w:cs="Times New Roman"/>
                <w:szCs w:val="24"/>
              </w:rPr>
              <w:t>Institut Ruđer Bošković</w:t>
            </w:r>
          </w:p>
        </w:tc>
      </w:tr>
      <w:tr w:rsidR="00A32549" w:rsidRPr="00C07BE5" w14:paraId="04E57F23" w14:textId="77777777" w:rsidTr="00690A51">
        <w:trPr>
          <w:trHeight w:val="300"/>
        </w:trPr>
        <w:tc>
          <w:tcPr>
            <w:tcW w:w="2800" w:type="dxa"/>
            <w:tcBorders>
              <w:top w:val="single" w:sz="4" w:space="0" w:color="auto"/>
              <w:left w:val="nil"/>
              <w:bottom w:val="single" w:sz="4" w:space="0" w:color="auto"/>
              <w:right w:val="nil"/>
            </w:tcBorders>
            <w:noWrap/>
          </w:tcPr>
          <w:p w14:paraId="62432C8A" w14:textId="77777777" w:rsidR="00A32549" w:rsidRPr="00C07BE5" w:rsidRDefault="00A32549" w:rsidP="00690A51">
            <w:pPr>
              <w:spacing w:after="0" w:line="240" w:lineRule="auto"/>
              <w:rPr>
                <w:rFonts w:cs="Times New Roman"/>
                <w:szCs w:val="24"/>
              </w:rPr>
            </w:pPr>
            <w:r w:rsidRPr="00C07BE5">
              <w:rPr>
                <w:rFonts w:cs="Times New Roman"/>
                <w:szCs w:val="24"/>
              </w:rPr>
              <w:t>ISO 9001</w:t>
            </w:r>
          </w:p>
        </w:tc>
        <w:tc>
          <w:tcPr>
            <w:tcW w:w="6839" w:type="dxa"/>
            <w:tcBorders>
              <w:top w:val="single" w:sz="4" w:space="0" w:color="auto"/>
              <w:left w:val="nil"/>
              <w:bottom w:val="single" w:sz="4" w:space="0" w:color="auto"/>
              <w:right w:val="nil"/>
            </w:tcBorders>
            <w:noWrap/>
          </w:tcPr>
          <w:p w14:paraId="46109308" w14:textId="77777777" w:rsidR="00A32549" w:rsidRPr="00C07BE5" w:rsidRDefault="00A32549" w:rsidP="00690A51">
            <w:pPr>
              <w:spacing w:after="0" w:line="240" w:lineRule="auto"/>
              <w:rPr>
                <w:rFonts w:cs="Times New Roman"/>
                <w:szCs w:val="24"/>
              </w:rPr>
            </w:pPr>
            <w:r w:rsidRPr="00C07BE5">
              <w:rPr>
                <w:rFonts w:cs="Times New Roman"/>
                <w:szCs w:val="24"/>
              </w:rPr>
              <w:t>sustav upravljanja kvalitetom</w:t>
            </w:r>
          </w:p>
        </w:tc>
      </w:tr>
      <w:tr w:rsidR="00A32549" w:rsidRPr="00C07BE5" w14:paraId="00D2553B" w14:textId="77777777" w:rsidTr="00690A51">
        <w:trPr>
          <w:trHeight w:val="300"/>
        </w:trPr>
        <w:tc>
          <w:tcPr>
            <w:tcW w:w="2800" w:type="dxa"/>
            <w:tcBorders>
              <w:top w:val="single" w:sz="4" w:space="0" w:color="auto"/>
              <w:left w:val="nil"/>
              <w:bottom w:val="single" w:sz="4" w:space="0" w:color="auto"/>
              <w:right w:val="nil"/>
            </w:tcBorders>
            <w:noWrap/>
          </w:tcPr>
          <w:p w14:paraId="734B2466" w14:textId="77777777" w:rsidR="00A32549" w:rsidRPr="00C07BE5" w:rsidRDefault="00A32549" w:rsidP="00690A51">
            <w:pPr>
              <w:spacing w:after="0" w:line="240" w:lineRule="auto"/>
              <w:rPr>
                <w:rFonts w:cs="Times New Roman"/>
                <w:szCs w:val="24"/>
              </w:rPr>
            </w:pPr>
            <w:r w:rsidRPr="00C07BE5">
              <w:rPr>
                <w:rFonts w:cs="Times New Roman"/>
                <w:szCs w:val="24"/>
              </w:rPr>
              <w:t>ISO 27001</w:t>
            </w:r>
          </w:p>
        </w:tc>
        <w:tc>
          <w:tcPr>
            <w:tcW w:w="6839" w:type="dxa"/>
            <w:tcBorders>
              <w:top w:val="single" w:sz="4" w:space="0" w:color="auto"/>
              <w:left w:val="nil"/>
              <w:bottom w:val="single" w:sz="4" w:space="0" w:color="auto"/>
              <w:right w:val="nil"/>
            </w:tcBorders>
            <w:noWrap/>
          </w:tcPr>
          <w:p w14:paraId="24C05039" w14:textId="77777777" w:rsidR="00A32549" w:rsidRPr="00C07BE5" w:rsidRDefault="00A32549" w:rsidP="00690A51">
            <w:pPr>
              <w:spacing w:after="0" w:line="240" w:lineRule="auto"/>
              <w:rPr>
                <w:rFonts w:cs="Times New Roman"/>
                <w:szCs w:val="24"/>
              </w:rPr>
            </w:pPr>
            <w:r w:rsidRPr="00C07BE5">
              <w:rPr>
                <w:rFonts w:cs="Times New Roman"/>
                <w:szCs w:val="24"/>
              </w:rPr>
              <w:t xml:space="preserve">sustav upravljanja informacijskom sigurnošću </w:t>
            </w:r>
          </w:p>
        </w:tc>
      </w:tr>
      <w:tr w:rsidR="00A32549" w:rsidRPr="00C07BE5" w14:paraId="021FF915" w14:textId="77777777" w:rsidTr="00690A51">
        <w:trPr>
          <w:trHeight w:val="300"/>
        </w:trPr>
        <w:tc>
          <w:tcPr>
            <w:tcW w:w="2800" w:type="dxa"/>
            <w:tcBorders>
              <w:top w:val="single" w:sz="4" w:space="0" w:color="auto"/>
              <w:left w:val="nil"/>
              <w:bottom w:val="single" w:sz="4" w:space="0" w:color="auto"/>
              <w:right w:val="nil"/>
            </w:tcBorders>
            <w:noWrap/>
          </w:tcPr>
          <w:p w14:paraId="201C6697" w14:textId="77777777" w:rsidR="00A32549" w:rsidRPr="00C07BE5" w:rsidRDefault="00A32549" w:rsidP="00690A51">
            <w:pPr>
              <w:spacing w:after="0" w:line="240" w:lineRule="auto"/>
              <w:rPr>
                <w:rFonts w:cs="Times New Roman"/>
                <w:szCs w:val="24"/>
              </w:rPr>
            </w:pPr>
            <w:r w:rsidRPr="00C07BE5">
              <w:rPr>
                <w:rFonts w:cs="Times New Roman"/>
                <w:szCs w:val="24"/>
              </w:rPr>
              <w:t>KO</w:t>
            </w:r>
          </w:p>
        </w:tc>
        <w:tc>
          <w:tcPr>
            <w:tcW w:w="6839" w:type="dxa"/>
            <w:tcBorders>
              <w:top w:val="single" w:sz="4" w:space="0" w:color="auto"/>
              <w:left w:val="nil"/>
              <w:bottom w:val="single" w:sz="4" w:space="0" w:color="auto"/>
              <w:right w:val="nil"/>
            </w:tcBorders>
            <w:noWrap/>
          </w:tcPr>
          <w:p w14:paraId="7C98847F" w14:textId="77777777" w:rsidR="00A32549" w:rsidRPr="00C07BE5" w:rsidRDefault="00A32549" w:rsidP="00690A51">
            <w:pPr>
              <w:spacing w:after="0" w:line="240" w:lineRule="auto"/>
              <w:rPr>
                <w:rFonts w:cs="Times New Roman"/>
                <w:szCs w:val="24"/>
              </w:rPr>
            </w:pPr>
            <w:r w:rsidRPr="00C07BE5">
              <w:rPr>
                <w:rFonts w:cs="Times New Roman"/>
                <w:szCs w:val="24"/>
              </w:rPr>
              <w:t>Koordinacijski odbor</w:t>
            </w:r>
          </w:p>
        </w:tc>
      </w:tr>
      <w:tr w:rsidR="00A32549" w:rsidRPr="00C07BE5" w14:paraId="7BCA9688" w14:textId="77777777" w:rsidTr="00690A51">
        <w:trPr>
          <w:trHeight w:val="300"/>
        </w:trPr>
        <w:tc>
          <w:tcPr>
            <w:tcW w:w="2800" w:type="dxa"/>
            <w:tcBorders>
              <w:top w:val="single" w:sz="4" w:space="0" w:color="auto"/>
              <w:left w:val="nil"/>
              <w:bottom w:val="single" w:sz="4" w:space="0" w:color="auto"/>
              <w:right w:val="nil"/>
            </w:tcBorders>
            <w:noWrap/>
          </w:tcPr>
          <w:p w14:paraId="2F317DBF" w14:textId="77777777" w:rsidR="00A32549" w:rsidRPr="00C07BE5" w:rsidRDefault="00A32549" w:rsidP="00690A51">
            <w:pPr>
              <w:spacing w:after="0" w:line="240" w:lineRule="auto"/>
              <w:rPr>
                <w:rFonts w:cs="Times New Roman"/>
                <w:szCs w:val="24"/>
              </w:rPr>
            </w:pPr>
            <w:r w:rsidRPr="00C07BE5">
              <w:rPr>
                <w:rFonts w:cs="Times New Roman"/>
                <w:szCs w:val="24"/>
              </w:rPr>
              <w:t>MDP</w:t>
            </w:r>
          </w:p>
        </w:tc>
        <w:tc>
          <w:tcPr>
            <w:tcW w:w="6839" w:type="dxa"/>
            <w:tcBorders>
              <w:top w:val="single" w:sz="4" w:space="0" w:color="auto"/>
              <w:left w:val="nil"/>
              <w:bottom w:val="single" w:sz="4" w:space="0" w:color="auto"/>
              <w:right w:val="nil"/>
            </w:tcBorders>
            <w:noWrap/>
          </w:tcPr>
          <w:p w14:paraId="18B1E5D3" w14:textId="77777777" w:rsidR="00A32549" w:rsidRPr="00C07BE5" w:rsidRDefault="00A32549" w:rsidP="00690A51">
            <w:pPr>
              <w:spacing w:after="0" w:line="240" w:lineRule="auto"/>
              <w:rPr>
                <w:rFonts w:cs="Times New Roman"/>
                <w:szCs w:val="24"/>
              </w:rPr>
            </w:pPr>
            <w:r w:rsidRPr="00C07BE5">
              <w:rPr>
                <w:rFonts w:cs="Times New Roman"/>
                <w:szCs w:val="24"/>
              </w:rPr>
              <w:t>Međudržavno povjerenstvo</w:t>
            </w:r>
          </w:p>
        </w:tc>
      </w:tr>
      <w:tr w:rsidR="00A32549" w:rsidRPr="00C07BE5" w14:paraId="6DFE97A1" w14:textId="77777777" w:rsidTr="00690A51">
        <w:trPr>
          <w:trHeight w:val="1500"/>
        </w:trPr>
        <w:tc>
          <w:tcPr>
            <w:tcW w:w="2800" w:type="dxa"/>
            <w:tcBorders>
              <w:top w:val="single" w:sz="4" w:space="0" w:color="auto"/>
              <w:left w:val="nil"/>
              <w:bottom w:val="single" w:sz="4" w:space="0" w:color="auto"/>
              <w:right w:val="nil"/>
            </w:tcBorders>
            <w:noWrap/>
            <w:hideMark/>
          </w:tcPr>
          <w:p w14:paraId="25FDD92B" w14:textId="77777777" w:rsidR="00A32549" w:rsidRPr="00C07BE5" w:rsidRDefault="00A32549" w:rsidP="00690A51">
            <w:pPr>
              <w:spacing w:after="0" w:line="240" w:lineRule="auto"/>
              <w:rPr>
                <w:rFonts w:cs="Times New Roman"/>
                <w:szCs w:val="24"/>
              </w:rPr>
            </w:pPr>
            <w:r w:rsidRPr="00C07BE5">
              <w:rPr>
                <w:rFonts w:cs="Times New Roman"/>
                <w:szCs w:val="24"/>
              </w:rPr>
              <w:t>Međudržavni ugovor</w:t>
            </w:r>
          </w:p>
        </w:tc>
        <w:tc>
          <w:tcPr>
            <w:tcW w:w="6839" w:type="dxa"/>
            <w:tcBorders>
              <w:top w:val="single" w:sz="4" w:space="0" w:color="auto"/>
              <w:left w:val="nil"/>
              <w:bottom w:val="single" w:sz="4" w:space="0" w:color="auto"/>
              <w:right w:val="nil"/>
            </w:tcBorders>
            <w:hideMark/>
          </w:tcPr>
          <w:p w14:paraId="1681008B" w14:textId="77777777" w:rsidR="00A32549" w:rsidRPr="00C07BE5" w:rsidRDefault="00A32549" w:rsidP="00690A51">
            <w:pPr>
              <w:spacing w:after="0" w:line="240" w:lineRule="auto"/>
              <w:rPr>
                <w:rFonts w:cs="Times New Roman"/>
                <w:szCs w:val="24"/>
              </w:rPr>
            </w:pPr>
            <w:r w:rsidRPr="00C07BE5">
              <w:rPr>
                <w:rFonts w:cs="Times New Roman"/>
                <w:szCs w:val="24"/>
              </w:rPr>
              <w:t>Ugovor između Vlade Republike Hrvatske i Vlade Republike Slovenije o uređenju statusnih i drugih pravnih odnosa vezanih uz ulaganje, iskorištavanje i razgradnju Nuklearne elektrane Krško (Bilateralni ugovor, Ugovor) (Zakon o potvrđivanju ugovora, Narodne novine - Međudržavni ugovori br. 9/02)</w:t>
            </w:r>
          </w:p>
        </w:tc>
      </w:tr>
      <w:tr w:rsidR="00A32549" w:rsidRPr="00C07BE5" w14:paraId="45EBC5B6" w14:textId="77777777" w:rsidTr="00690A51">
        <w:trPr>
          <w:trHeight w:val="300"/>
        </w:trPr>
        <w:tc>
          <w:tcPr>
            <w:tcW w:w="2800" w:type="dxa"/>
            <w:tcBorders>
              <w:top w:val="single" w:sz="4" w:space="0" w:color="auto"/>
              <w:left w:val="nil"/>
              <w:bottom w:val="single" w:sz="4" w:space="0" w:color="auto"/>
              <w:right w:val="nil"/>
            </w:tcBorders>
            <w:noWrap/>
            <w:hideMark/>
          </w:tcPr>
          <w:p w14:paraId="5B0BF219" w14:textId="77777777" w:rsidR="00A32549" w:rsidRPr="00C07BE5" w:rsidRDefault="00A32549" w:rsidP="00690A51">
            <w:pPr>
              <w:spacing w:after="0" w:line="240" w:lineRule="auto"/>
              <w:rPr>
                <w:rFonts w:cs="Times New Roman"/>
                <w:szCs w:val="24"/>
              </w:rPr>
            </w:pPr>
            <w:r w:rsidRPr="00C07BE5">
              <w:rPr>
                <w:rFonts w:cs="Times New Roman"/>
                <w:szCs w:val="24"/>
              </w:rPr>
              <w:t>mil.</w:t>
            </w:r>
          </w:p>
        </w:tc>
        <w:tc>
          <w:tcPr>
            <w:tcW w:w="6839" w:type="dxa"/>
            <w:tcBorders>
              <w:top w:val="single" w:sz="4" w:space="0" w:color="auto"/>
              <w:left w:val="nil"/>
              <w:bottom w:val="single" w:sz="4" w:space="0" w:color="auto"/>
              <w:right w:val="nil"/>
            </w:tcBorders>
            <w:noWrap/>
            <w:hideMark/>
          </w:tcPr>
          <w:p w14:paraId="74539799" w14:textId="77777777" w:rsidR="00A32549" w:rsidRPr="00C07BE5" w:rsidRDefault="00A32549" w:rsidP="00690A51">
            <w:pPr>
              <w:spacing w:after="0" w:line="240" w:lineRule="auto"/>
              <w:rPr>
                <w:rFonts w:cs="Times New Roman"/>
                <w:szCs w:val="24"/>
              </w:rPr>
            </w:pPr>
            <w:r w:rsidRPr="00C07BE5">
              <w:rPr>
                <w:rFonts w:cs="Times New Roman"/>
                <w:szCs w:val="24"/>
              </w:rPr>
              <w:t>milijun</w:t>
            </w:r>
          </w:p>
        </w:tc>
      </w:tr>
      <w:tr w:rsidR="00A32549" w:rsidRPr="00C07BE5" w14:paraId="27A42AFF" w14:textId="77777777" w:rsidTr="00690A51">
        <w:trPr>
          <w:trHeight w:val="300"/>
        </w:trPr>
        <w:tc>
          <w:tcPr>
            <w:tcW w:w="2800" w:type="dxa"/>
            <w:tcBorders>
              <w:top w:val="single" w:sz="4" w:space="0" w:color="auto"/>
              <w:left w:val="nil"/>
              <w:bottom w:val="single" w:sz="4" w:space="0" w:color="auto"/>
              <w:right w:val="nil"/>
            </w:tcBorders>
            <w:noWrap/>
          </w:tcPr>
          <w:p w14:paraId="010CBE26" w14:textId="77777777" w:rsidR="00A32549" w:rsidRPr="00C07BE5" w:rsidRDefault="00A32549" w:rsidP="00690A51">
            <w:pPr>
              <w:spacing w:after="0" w:line="240" w:lineRule="auto"/>
              <w:rPr>
                <w:rFonts w:cs="Times New Roman"/>
                <w:szCs w:val="24"/>
              </w:rPr>
            </w:pPr>
            <w:r w:rsidRPr="00C07BE5">
              <w:rPr>
                <w:rFonts w:cs="Times New Roman"/>
                <w:szCs w:val="24"/>
              </w:rPr>
              <w:t>MMF</w:t>
            </w:r>
          </w:p>
        </w:tc>
        <w:tc>
          <w:tcPr>
            <w:tcW w:w="6839" w:type="dxa"/>
            <w:tcBorders>
              <w:top w:val="single" w:sz="4" w:space="0" w:color="auto"/>
              <w:left w:val="nil"/>
              <w:bottom w:val="single" w:sz="4" w:space="0" w:color="auto"/>
              <w:right w:val="nil"/>
            </w:tcBorders>
            <w:noWrap/>
          </w:tcPr>
          <w:p w14:paraId="60E761EA" w14:textId="77777777" w:rsidR="00A32549" w:rsidRPr="00C07BE5" w:rsidRDefault="00A32549" w:rsidP="00690A51">
            <w:pPr>
              <w:spacing w:after="0" w:line="240" w:lineRule="auto"/>
              <w:rPr>
                <w:rFonts w:cs="Times New Roman"/>
                <w:szCs w:val="24"/>
              </w:rPr>
            </w:pPr>
            <w:r w:rsidRPr="00C07BE5">
              <w:rPr>
                <w:rFonts w:cs="Times New Roman"/>
                <w:szCs w:val="24"/>
              </w:rPr>
              <w:t>Međunarodni monetarni fond</w:t>
            </w:r>
          </w:p>
        </w:tc>
      </w:tr>
      <w:tr w:rsidR="00A32549" w:rsidRPr="00C07BE5" w14:paraId="017DBF9D" w14:textId="77777777" w:rsidTr="00690A51">
        <w:trPr>
          <w:trHeight w:val="300"/>
        </w:trPr>
        <w:tc>
          <w:tcPr>
            <w:tcW w:w="2800" w:type="dxa"/>
            <w:tcBorders>
              <w:top w:val="single" w:sz="4" w:space="0" w:color="auto"/>
              <w:left w:val="nil"/>
              <w:bottom w:val="single" w:sz="4" w:space="0" w:color="auto"/>
              <w:right w:val="nil"/>
            </w:tcBorders>
            <w:noWrap/>
          </w:tcPr>
          <w:p w14:paraId="58006A61" w14:textId="77777777" w:rsidR="00A32549" w:rsidRPr="00C07BE5" w:rsidRDefault="00A32549" w:rsidP="00690A51">
            <w:pPr>
              <w:spacing w:after="0" w:line="240" w:lineRule="auto"/>
              <w:rPr>
                <w:rFonts w:cs="Times New Roman"/>
                <w:szCs w:val="24"/>
              </w:rPr>
            </w:pPr>
            <w:r w:rsidRPr="00C07BE5">
              <w:rPr>
                <w:rFonts w:cs="Times New Roman"/>
                <w:szCs w:val="24"/>
              </w:rPr>
              <w:lastRenderedPageBreak/>
              <w:t>NDAP</w:t>
            </w:r>
          </w:p>
        </w:tc>
        <w:tc>
          <w:tcPr>
            <w:tcW w:w="6839" w:type="dxa"/>
            <w:tcBorders>
              <w:top w:val="single" w:sz="4" w:space="0" w:color="auto"/>
              <w:left w:val="nil"/>
              <w:bottom w:val="single" w:sz="4" w:space="0" w:color="auto"/>
              <w:right w:val="nil"/>
            </w:tcBorders>
            <w:noWrap/>
          </w:tcPr>
          <w:p w14:paraId="22FDE66E" w14:textId="77777777" w:rsidR="00A32549" w:rsidRPr="00C07BE5" w:rsidRDefault="00A32549" w:rsidP="00690A51">
            <w:pPr>
              <w:spacing w:after="0" w:line="240" w:lineRule="auto"/>
              <w:rPr>
                <w:rFonts w:cs="Times New Roman"/>
                <w:szCs w:val="24"/>
              </w:rPr>
            </w:pPr>
            <w:r w:rsidRPr="00C07BE5">
              <w:rPr>
                <w:rFonts w:cs="Times New Roman"/>
                <w:szCs w:val="24"/>
              </w:rPr>
              <w:t>Nuclear Decommissioning Assistance Programmes Committee</w:t>
            </w:r>
          </w:p>
        </w:tc>
      </w:tr>
      <w:tr w:rsidR="00A32549" w:rsidRPr="00C07BE5" w14:paraId="5C969021" w14:textId="77777777" w:rsidTr="00690A51">
        <w:trPr>
          <w:trHeight w:val="300"/>
        </w:trPr>
        <w:tc>
          <w:tcPr>
            <w:tcW w:w="2800" w:type="dxa"/>
            <w:tcBorders>
              <w:top w:val="single" w:sz="4" w:space="0" w:color="auto"/>
              <w:left w:val="nil"/>
              <w:bottom w:val="single" w:sz="4" w:space="0" w:color="auto"/>
              <w:right w:val="nil"/>
            </w:tcBorders>
            <w:noWrap/>
            <w:hideMark/>
          </w:tcPr>
          <w:p w14:paraId="502C9F9C" w14:textId="77777777" w:rsidR="00A32549" w:rsidRPr="00C07BE5" w:rsidRDefault="00A32549" w:rsidP="00690A51">
            <w:pPr>
              <w:spacing w:after="0" w:line="240" w:lineRule="auto"/>
              <w:rPr>
                <w:rFonts w:cs="Times New Roman"/>
                <w:szCs w:val="24"/>
              </w:rPr>
            </w:pPr>
            <w:r w:rsidRPr="00C07BE5">
              <w:rPr>
                <w:rFonts w:cs="Times New Roman"/>
                <w:szCs w:val="24"/>
              </w:rPr>
              <w:t>NE</w:t>
            </w:r>
          </w:p>
        </w:tc>
        <w:tc>
          <w:tcPr>
            <w:tcW w:w="6839" w:type="dxa"/>
            <w:tcBorders>
              <w:top w:val="single" w:sz="4" w:space="0" w:color="auto"/>
              <w:left w:val="nil"/>
              <w:bottom w:val="single" w:sz="4" w:space="0" w:color="auto"/>
              <w:right w:val="nil"/>
            </w:tcBorders>
            <w:noWrap/>
            <w:hideMark/>
          </w:tcPr>
          <w:p w14:paraId="5AF3F8A4" w14:textId="77777777" w:rsidR="00A32549" w:rsidRPr="00C07BE5" w:rsidRDefault="00A32549" w:rsidP="00690A51">
            <w:pPr>
              <w:spacing w:after="0" w:line="240" w:lineRule="auto"/>
              <w:rPr>
                <w:rFonts w:cs="Times New Roman"/>
                <w:szCs w:val="24"/>
              </w:rPr>
            </w:pPr>
            <w:r w:rsidRPr="00C07BE5">
              <w:rPr>
                <w:rFonts w:cs="Times New Roman"/>
                <w:szCs w:val="24"/>
              </w:rPr>
              <w:t>nuklearna elektrana</w:t>
            </w:r>
          </w:p>
        </w:tc>
      </w:tr>
      <w:tr w:rsidR="00A32549" w:rsidRPr="00C07BE5" w14:paraId="102B3BB0" w14:textId="77777777" w:rsidTr="00690A51">
        <w:trPr>
          <w:trHeight w:val="300"/>
        </w:trPr>
        <w:tc>
          <w:tcPr>
            <w:tcW w:w="2800" w:type="dxa"/>
            <w:tcBorders>
              <w:top w:val="single" w:sz="4" w:space="0" w:color="auto"/>
              <w:left w:val="nil"/>
              <w:bottom w:val="single" w:sz="4" w:space="0" w:color="auto"/>
              <w:right w:val="nil"/>
            </w:tcBorders>
            <w:noWrap/>
          </w:tcPr>
          <w:p w14:paraId="1724390D" w14:textId="77777777" w:rsidR="00A32549" w:rsidRPr="00C07BE5" w:rsidRDefault="00A32549" w:rsidP="00690A51">
            <w:pPr>
              <w:spacing w:after="0" w:line="240" w:lineRule="auto"/>
              <w:rPr>
                <w:rFonts w:cs="Times New Roman"/>
                <w:szCs w:val="24"/>
              </w:rPr>
            </w:pPr>
            <w:r w:rsidRPr="00C07BE5">
              <w:rPr>
                <w:rFonts w:cs="Times New Roman"/>
                <w:szCs w:val="24"/>
              </w:rPr>
              <w:t>NEA</w:t>
            </w:r>
          </w:p>
        </w:tc>
        <w:tc>
          <w:tcPr>
            <w:tcW w:w="6839" w:type="dxa"/>
            <w:tcBorders>
              <w:top w:val="single" w:sz="4" w:space="0" w:color="auto"/>
              <w:left w:val="nil"/>
              <w:bottom w:val="single" w:sz="4" w:space="0" w:color="auto"/>
              <w:right w:val="nil"/>
            </w:tcBorders>
            <w:noWrap/>
          </w:tcPr>
          <w:p w14:paraId="63AD7340" w14:textId="77777777" w:rsidR="00A32549" w:rsidRPr="00C07BE5" w:rsidRDefault="00A32549" w:rsidP="00690A51">
            <w:pPr>
              <w:spacing w:after="0" w:line="240" w:lineRule="auto"/>
              <w:rPr>
                <w:rFonts w:cs="Times New Roman"/>
                <w:szCs w:val="24"/>
              </w:rPr>
            </w:pPr>
            <w:r w:rsidRPr="00C07BE5">
              <w:rPr>
                <w:rFonts w:cs="Times New Roman"/>
                <w:szCs w:val="24"/>
              </w:rPr>
              <w:t>Nuclear Energy Agency</w:t>
            </w:r>
          </w:p>
        </w:tc>
      </w:tr>
      <w:tr w:rsidR="00A32549" w:rsidRPr="00C07BE5" w14:paraId="581B55C8" w14:textId="77777777" w:rsidTr="00690A51">
        <w:trPr>
          <w:trHeight w:val="300"/>
        </w:trPr>
        <w:tc>
          <w:tcPr>
            <w:tcW w:w="2800" w:type="dxa"/>
            <w:tcBorders>
              <w:top w:val="single" w:sz="4" w:space="0" w:color="auto"/>
              <w:left w:val="nil"/>
              <w:bottom w:val="single" w:sz="4" w:space="0" w:color="auto"/>
              <w:right w:val="nil"/>
            </w:tcBorders>
            <w:noWrap/>
            <w:hideMark/>
          </w:tcPr>
          <w:p w14:paraId="659D95D1" w14:textId="77777777" w:rsidR="00A32549" w:rsidRPr="00C07BE5" w:rsidRDefault="00A32549" w:rsidP="00690A51">
            <w:pPr>
              <w:spacing w:after="0" w:line="240" w:lineRule="auto"/>
              <w:rPr>
                <w:rFonts w:cs="Times New Roman"/>
                <w:szCs w:val="24"/>
              </w:rPr>
            </w:pPr>
            <w:r w:rsidRPr="00C07BE5">
              <w:rPr>
                <w:rFonts w:cs="Times New Roman"/>
                <w:szCs w:val="24"/>
              </w:rPr>
              <w:t>NEK</w:t>
            </w:r>
          </w:p>
        </w:tc>
        <w:tc>
          <w:tcPr>
            <w:tcW w:w="6839" w:type="dxa"/>
            <w:tcBorders>
              <w:top w:val="single" w:sz="4" w:space="0" w:color="auto"/>
              <w:left w:val="nil"/>
              <w:bottom w:val="single" w:sz="4" w:space="0" w:color="auto"/>
              <w:right w:val="nil"/>
            </w:tcBorders>
            <w:noWrap/>
            <w:hideMark/>
          </w:tcPr>
          <w:p w14:paraId="69896CAF" w14:textId="77777777" w:rsidR="00A32549" w:rsidRPr="00C07BE5" w:rsidRDefault="00A32549" w:rsidP="00690A51">
            <w:pPr>
              <w:spacing w:after="0" w:line="240" w:lineRule="auto"/>
              <w:rPr>
                <w:rFonts w:cs="Times New Roman"/>
                <w:szCs w:val="24"/>
              </w:rPr>
            </w:pPr>
            <w:r w:rsidRPr="00C07BE5">
              <w:rPr>
                <w:rFonts w:cs="Times New Roman"/>
                <w:szCs w:val="24"/>
              </w:rPr>
              <w:t>Nuklearna elektrana Krško (NE Krško)</w:t>
            </w:r>
          </w:p>
        </w:tc>
      </w:tr>
      <w:tr w:rsidR="00A32549" w:rsidRPr="00C07BE5" w14:paraId="0EF9B6BB" w14:textId="77777777" w:rsidTr="00690A51">
        <w:trPr>
          <w:trHeight w:val="300"/>
        </w:trPr>
        <w:tc>
          <w:tcPr>
            <w:tcW w:w="2800" w:type="dxa"/>
            <w:tcBorders>
              <w:top w:val="single" w:sz="4" w:space="0" w:color="auto"/>
              <w:left w:val="nil"/>
              <w:bottom w:val="single" w:sz="4" w:space="0" w:color="auto"/>
              <w:right w:val="nil"/>
            </w:tcBorders>
            <w:noWrap/>
            <w:hideMark/>
          </w:tcPr>
          <w:p w14:paraId="513B4C9A" w14:textId="77777777" w:rsidR="00A32549" w:rsidRPr="00C07BE5" w:rsidRDefault="00A32549" w:rsidP="00690A51">
            <w:pPr>
              <w:spacing w:after="0" w:line="240" w:lineRule="auto"/>
              <w:rPr>
                <w:rFonts w:cs="Times New Roman"/>
                <w:szCs w:val="24"/>
              </w:rPr>
            </w:pPr>
            <w:r w:rsidRPr="00C07BE5">
              <w:rPr>
                <w:rFonts w:cs="Times New Roman"/>
                <w:szCs w:val="24"/>
              </w:rPr>
              <w:t>NSRAO</w:t>
            </w:r>
          </w:p>
        </w:tc>
        <w:tc>
          <w:tcPr>
            <w:tcW w:w="6839" w:type="dxa"/>
            <w:tcBorders>
              <w:top w:val="single" w:sz="4" w:space="0" w:color="auto"/>
              <w:left w:val="nil"/>
              <w:bottom w:val="single" w:sz="4" w:space="0" w:color="auto"/>
              <w:right w:val="nil"/>
            </w:tcBorders>
            <w:noWrap/>
            <w:hideMark/>
          </w:tcPr>
          <w:p w14:paraId="6AF6892F" w14:textId="77777777" w:rsidR="00A32549" w:rsidRPr="00C07BE5" w:rsidRDefault="00A32549" w:rsidP="00690A51">
            <w:pPr>
              <w:spacing w:after="0" w:line="240" w:lineRule="auto"/>
              <w:rPr>
                <w:rFonts w:cs="Times New Roman"/>
                <w:szCs w:val="24"/>
              </w:rPr>
            </w:pPr>
            <w:r w:rsidRPr="00C07BE5">
              <w:rPr>
                <w:rFonts w:cs="Times New Roman"/>
                <w:szCs w:val="24"/>
              </w:rPr>
              <w:t>nisko i srednje radioaktivni otpad</w:t>
            </w:r>
          </w:p>
        </w:tc>
      </w:tr>
      <w:tr w:rsidR="00A32549" w:rsidRPr="00C07BE5" w14:paraId="70C40A36" w14:textId="77777777" w:rsidTr="00690A51">
        <w:trPr>
          <w:trHeight w:val="300"/>
        </w:trPr>
        <w:tc>
          <w:tcPr>
            <w:tcW w:w="2800" w:type="dxa"/>
            <w:tcBorders>
              <w:top w:val="single" w:sz="4" w:space="0" w:color="auto"/>
              <w:left w:val="nil"/>
              <w:bottom w:val="single" w:sz="4" w:space="0" w:color="auto"/>
              <w:right w:val="nil"/>
            </w:tcBorders>
            <w:noWrap/>
          </w:tcPr>
          <w:p w14:paraId="63CDA950" w14:textId="77777777" w:rsidR="00A32549" w:rsidRPr="00C07BE5" w:rsidRDefault="00A32549" w:rsidP="00690A51">
            <w:pPr>
              <w:spacing w:after="0" w:line="240" w:lineRule="auto"/>
              <w:rPr>
                <w:rFonts w:cs="Times New Roman"/>
                <w:szCs w:val="24"/>
              </w:rPr>
            </w:pPr>
            <w:r w:rsidRPr="00C07BE5">
              <w:rPr>
                <w:rFonts w:cs="Times New Roman"/>
                <w:szCs w:val="24"/>
              </w:rPr>
              <w:t>OECD</w:t>
            </w:r>
          </w:p>
        </w:tc>
        <w:tc>
          <w:tcPr>
            <w:tcW w:w="6839" w:type="dxa"/>
            <w:tcBorders>
              <w:top w:val="single" w:sz="4" w:space="0" w:color="auto"/>
              <w:left w:val="nil"/>
              <w:bottom w:val="single" w:sz="4" w:space="0" w:color="auto"/>
              <w:right w:val="nil"/>
            </w:tcBorders>
            <w:noWrap/>
          </w:tcPr>
          <w:p w14:paraId="63E55A3F" w14:textId="77777777" w:rsidR="00A32549" w:rsidRPr="00C07BE5" w:rsidRDefault="00A32549" w:rsidP="00690A51">
            <w:pPr>
              <w:spacing w:after="0" w:line="240" w:lineRule="auto"/>
              <w:rPr>
                <w:rFonts w:cs="Times New Roman"/>
                <w:i/>
                <w:iCs/>
                <w:szCs w:val="24"/>
              </w:rPr>
            </w:pPr>
            <w:r w:rsidRPr="00C07BE5">
              <w:rPr>
                <w:rFonts w:cs="Times New Roman"/>
                <w:i/>
                <w:iCs/>
                <w:szCs w:val="24"/>
              </w:rPr>
              <w:t>Organisation for Economic Co-operation and Development</w:t>
            </w:r>
          </w:p>
        </w:tc>
      </w:tr>
      <w:tr w:rsidR="00A32549" w:rsidRPr="00C07BE5" w14:paraId="7E6E9F78" w14:textId="77777777" w:rsidTr="00690A51">
        <w:trPr>
          <w:trHeight w:val="300"/>
        </w:trPr>
        <w:tc>
          <w:tcPr>
            <w:tcW w:w="2800" w:type="dxa"/>
            <w:tcBorders>
              <w:top w:val="single" w:sz="4" w:space="0" w:color="auto"/>
              <w:left w:val="nil"/>
              <w:bottom w:val="single" w:sz="4" w:space="0" w:color="auto"/>
              <w:right w:val="nil"/>
            </w:tcBorders>
            <w:noWrap/>
            <w:hideMark/>
          </w:tcPr>
          <w:p w14:paraId="2BC8A5F7" w14:textId="77777777" w:rsidR="00A32549" w:rsidRPr="00C07BE5" w:rsidRDefault="00A32549" w:rsidP="00690A51">
            <w:pPr>
              <w:spacing w:after="0" w:line="240" w:lineRule="auto"/>
              <w:rPr>
                <w:rFonts w:cs="Times New Roman"/>
                <w:szCs w:val="24"/>
              </w:rPr>
            </w:pPr>
            <w:r w:rsidRPr="00C07BE5">
              <w:rPr>
                <w:rFonts w:cs="Times New Roman"/>
                <w:szCs w:val="24"/>
              </w:rPr>
              <w:t>OIB</w:t>
            </w:r>
          </w:p>
        </w:tc>
        <w:tc>
          <w:tcPr>
            <w:tcW w:w="6839" w:type="dxa"/>
            <w:tcBorders>
              <w:top w:val="single" w:sz="4" w:space="0" w:color="auto"/>
              <w:left w:val="nil"/>
              <w:bottom w:val="single" w:sz="4" w:space="0" w:color="auto"/>
              <w:right w:val="nil"/>
            </w:tcBorders>
            <w:noWrap/>
            <w:hideMark/>
          </w:tcPr>
          <w:p w14:paraId="4B93C162" w14:textId="77777777" w:rsidR="00A32549" w:rsidRPr="00C07BE5" w:rsidRDefault="00A32549" w:rsidP="00690A51">
            <w:pPr>
              <w:spacing w:after="0" w:line="240" w:lineRule="auto"/>
              <w:rPr>
                <w:rFonts w:cs="Times New Roman"/>
                <w:szCs w:val="24"/>
              </w:rPr>
            </w:pPr>
            <w:r w:rsidRPr="00C07BE5">
              <w:rPr>
                <w:rFonts w:cs="Times New Roman"/>
                <w:szCs w:val="24"/>
              </w:rPr>
              <w:t>Osobni identifikacijski broj</w:t>
            </w:r>
          </w:p>
        </w:tc>
      </w:tr>
      <w:tr w:rsidR="00FD64F2" w:rsidRPr="00C07BE5" w14:paraId="797EB18B" w14:textId="77777777" w:rsidTr="00690A51">
        <w:trPr>
          <w:trHeight w:val="300"/>
        </w:trPr>
        <w:tc>
          <w:tcPr>
            <w:tcW w:w="2800" w:type="dxa"/>
            <w:tcBorders>
              <w:top w:val="single" w:sz="4" w:space="0" w:color="auto"/>
              <w:left w:val="nil"/>
              <w:bottom w:val="single" w:sz="4" w:space="0" w:color="auto"/>
              <w:right w:val="nil"/>
            </w:tcBorders>
            <w:noWrap/>
          </w:tcPr>
          <w:p w14:paraId="28C021FD" w14:textId="1EBBDAC9" w:rsidR="00FD64F2" w:rsidRPr="00C07BE5" w:rsidRDefault="00FD64F2" w:rsidP="00690A51">
            <w:pPr>
              <w:spacing w:after="0" w:line="240" w:lineRule="auto"/>
              <w:rPr>
                <w:rFonts w:cs="Times New Roman"/>
                <w:szCs w:val="24"/>
              </w:rPr>
            </w:pPr>
            <w:r>
              <w:rPr>
                <w:rFonts w:cs="Times New Roman"/>
                <w:szCs w:val="24"/>
              </w:rPr>
              <w:t>MBS</w:t>
            </w:r>
          </w:p>
        </w:tc>
        <w:tc>
          <w:tcPr>
            <w:tcW w:w="6839" w:type="dxa"/>
            <w:tcBorders>
              <w:top w:val="single" w:sz="4" w:space="0" w:color="auto"/>
              <w:left w:val="nil"/>
              <w:bottom w:val="single" w:sz="4" w:space="0" w:color="auto"/>
              <w:right w:val="nil"/>
            </w:tcBorders>
            <w:noWrap/>
          </w:tcPr>
          <w:p w14:paraId="6DE4B19C" w14:textId="6B99C5EC" w:rsidR="00FD64F2" w:rsidRPr="00C07BE5" w:rsidRDefault="00FD64F2" w:rsidP="00690A51">
            <w:pPr>
              <w:spacing w:after="0" w:line="240" w:lineRule="auto"/>
              <w:rPr>
                <w:rFonts w:cs="Times New Roman"/>
                <w:szCs w:val="24"/>
              </w:rPr>
            </w:pPr>
            <w:r>
              <w:rPr>
                <w:rFonts w:cs="Times New Roman"/>
                <w:szCs w:val="24"/>
              </w:rPr>
              <w:t>Matični broj subjekta</w:t>
            </w:r>
          </w:p>
        </w:tc>
      </w:tr>
      <w:tr w:rsidR="00A32549" w:rsidRPr="00C07BE5" w14:paraId="3F4FD326" w14:textId="77777777" w:rsidTr="00690A51">
        <w:trPr>
          <w:trHeight w:val="300"/>
        </w:trPr>
        <w:tc>
          <w:tcPr>
            <w:tcW w:w="2800" w:type="dxa"/>
            <w:tcBorders>
              <w:top w:val="single" w:sz="4" w:space="0" w:color="auto"/>
              <w:left w:val="nil"/>
              <w:bottom w:val="single" w:sz="4" w:space="0" w:color="auto"/>
              <w:right w:val="nil"/>
            </w:tcBorders>
            <w:noWrap/>
            <w:hideMark/>
          </w:tcPr>
          <w:p w14:paraId="3A36131B" w14:textId="77777777" w:rsidR="00A32549" w:rsidRPr="00C07BE5" w:rsidRDefault="00A32549" w:rsidP="00690A51">
            <w:pPr>
              <w:spacing w:after="0" w:line="240" w:lineRule="auto"/>
              <w:rPr>
                <w:rFonts w:cs="Times New Roman"/>
                <w:szCs w:val="24"/>
              </w:rPr>
            </w:pPr>
            <w:r w:rsidRPr="00C07BE5">
              <w:rPr>
                <w:rFonts w:cs="Times New Roman"/>
                <w:szCs w:val="24"/>
              </w:rPr>
              <w:t>PO</w:t>
            </w:r>
          </w:p>
        </w:tc>
        <w:tc>
          <w:tcPr>
            <w:tcW w:w="6839" w:type="dxa"/>
            <w:tcBorders>
              <w:top w:val="single" w:sz="4" w:space="0" w:color="auto"/>
              <w:left w:val="nil"/>
              <w:bottom w:val="single" w:sz="4" w:space="0" w:color="auto"/>
              <w:right w:val="nil"/>
            </w:tcBorders>
            <w:noWrap/>
            <w:hideMark/>
          </w:tcPr>
          <w:p w14:paraId="4787C9A6" w14:textId="77777777" w:rsidR="00A32549" w:rsidRPr="00C07BE5" w:rsidRDefault="00A32549" w:rsidP="00690A51">
            <w:pPr>
              <w:spacing w:after="0" w:line="240" w:lineRule="auto"/>
              <w:rPr>
                <w:rFonts w:cs="Times New Roman"/>
                <w:szCs w:val="24"/>
              </w:rPr>
            </w:pPr>
            <w:r w:rsidRPr="00C07BE5">
              <w:rPr>
                <w:rFonts w:cs="Times New Roman"/>
                <w:szCs w:val="24"/>
              </w:rPr>
              <w:t>Program odlaganja RAO-a i ING-a iz NEK-a</w:t>
            </w:r>
          </w:p>
        </w:tc>
      </w:tr>
      <w:tr w:rsidR="00A32549" w:rsidRPr="00C07BE5" w14:paraId="18278577" w14:textId="77777777" w:rsidTr="00690A51">
        <w:trPr>
          <w:trHeight w:val="300"/>
        </w:trPr>
        <w:tc>
          <w:tcPr>
            <w:tcW w:w="2800" w:type="dxa"/>
            <w:tcBorders>
              <w:top w:val="single" w:sz="4" w:space="0" w:color="auto"/>
              <w:left w:val="nil"/>
              <w:bottom w:val="single" w:sz="4" w:space="0" w:color="auto"/>
              <w:right w:val="nil"/>
            </w:tcBorders>
            <w:noWrap/>
            <w:hideMark/>
          </w:tcPr>
          <w:p w14:paraId="74643D95" w14:textId="77777777" w:rsidR="00A32549" w:rsidRPr="00C07BE5" w:rsidRDefault="00A32549" w:rsidP="00690A51">
            <w:pPr>
              <w:spacing w:after="0" w:line="240" w:lineRule="auto"/>
              <w:rPr>
                <w:rFonts w:cs="Times New Roman"/>
                <w:szCs w:val="24"/>
              </w:rPr>
            </w:pPr>
            <w:r w:rsidRPr="00C07BE5">
              <w:rPr>
                <w:rFonts w:cs="Times New Roman"/>
                <w:szCs w:val="24"/>
              </w:rPr>
              <w:t>PR</w:t>
            </w:r>
          </w:p>
        </w:tc>
        <w:tc>
          <w:tcPr>
            <w:tcW w:w="6839" w:type="dxa"/>
            <w:tcBorders>
              <w:top w:val="single" w:sz="4" w:space="0" w:color="auto"/>
              <w:left w:val="nil"/>
              <w:bottom w:val="single" w:sz="4" w:space="0" w:color="auto"/>
              <w:right w:val="nil"/>
            </w:tcBorders>
            <w:noWrap/>
            <w:hideMark/>
          </w:tcPr>
          <w:p w14:paraId="449B62BB" w14:textId="77777777" w:rsidR="00A32549" w:rsidRPr="00C07BE5" w:rsidRDefault="00A32549" w:rsidP="00690A51">
            <w:pPr>
              <w:spacing w:after="0" w:line="240" w:lineRule="auto"/>
              <w:rPr>
                <w:rFonts w:cs="Times New Roman"/>
                <w:szCs w:val="24"/>
              </w:rPr>
            </w:pPr>
            <w:r w:rsidRPr="00C07BE5">
              <w:rPr>
                <w:rFonts w:cs="Times New Roman"/>
                <w:szCs w:val="24"/>
              </w:rPr>
              <w:t>Program razgradnje NEK-a</w:t>
            </w:r>
          </w:p>
        </w:tc>
      </w:tr>
      <w:tr w:rsidR="00A32549" w:rsidRPr="00C07BE5" w14:paraId="4EC82C19" w14:textId="77777777" w:rsidTr="00690A51">
        <w:trPr>
          <w:trHeight w:val="300"/>
        </w:trPr>
        <w:tc>
          <w:tcPr>
            <w:tcW w:w="2800" w:type="dxa"/>
            <w:tcBorders>
              <w:top w:val="single" w:sz="4" w:space="0" w:color="auto"/>
              <w:left w:val="nil"/>
              <w:bottom w:val="single" w:sz="4" w:space="0" w:color="auto"/>
              <w:right w:val="nil"/>
            </w:tcBorders>
            <w:noWrap/>
          </w:tcPr>
          <w:p w14:paraId="3F37DE6D" w14:textId="77777777" w:rsidR="00A32549" w:rsidRPr="00C07BE5" w:rsidRDefault="00A32549" w:rsidP="00690A51">
            <w:pPr>
              <w:spacing w:after="0" w:line="240" w:lineRule="auto"/>
              <w:rPr>
                <w:rFonts w:cs="Times New Roman"/>
                <w:szCs w:val="24"/>
              </w:rPr>
            </w:pPr>
            <w:r w:rsidRPr="00C07BE5">
              <w:rPr>
                <w:rFonts w:cs="Times New Roman"/>
                <w:szCs w:val="24"/>
              </w:rPr>
              <w:t>Program razgradnje i odlaganja</w:t>
            </w:r>
          </w:p>
        </w:tc>
        <w:tc>
          <w:tcPr>
            <w:tcW w:w="6839" w:type="dxa"/>
            <w:tcBorders>
              <w:top w:val="single" w:sz="4" w:space="0" w:color="auto"/>
              <w:left w:val="nil"/>
              <w:bottom w:val="single" w:sz="4" w:space="0" w:color="auto"/>
              <w:right w:val="nil"/>
            </w:tcBorders>
            <w:noWrap/>
          </w:tcPr>
          <w:p w14:paraId="5D5CDE47" w14:textId="77777777" w:rsidR="00A32549" w:rsidRPr="00C07BE5" w:rsidRDefault="00A32549" w:rsidP="00690A51">
            <w:pPr>
              <w:spacing w:after="0" w:line="240" w:lineRule="auto"/>
              <w:rPr>
                <w:rFonts w:cs="Times New Roman"/>
                <w:szCs w:val="24"/>
              </w:rPr>
            </w:pPr>
            <w:r w:rsidRPr="00C07BE5">
              <w:rPr>
                <w:rFonts w:cs="Times New Roman"/>
                <w:szCs w:val="24"/>
              </w:rPr>
              <w:t>Program razgradnje Nuklearne elektrane Krško i Programu odlaganja radioaktivnog otpada i istrošenoga nuklearnog goriva</w:t>
            </w:r>
          </w:p>
        </w:tc>
      </w:tr>
      <w:tr w:rsidR="00A32549" w:rsidRPr="00C07BE5" w14:paraId="703D94EC" w14:textId="77777777" w:rsidTr="00690A51">
        <w:trPr>
          <w:trHeight w:val="300"/>
        </w:trPr>
        <w:tc>
          <w:tcPr>
            <w:tcW w:w="2800" w:type="dxa"/>
            <w:tcBorders>
              <w:top w:val="single" w:sz="4" w:space="0" w:color="auto"/>
              <w:left w:val="nil"/>
              <w:bottom w:val="single" w:sz="4" w:space="0" w:color="auto"/>
              <w:right w:val="nil"/>
            </w:tcBorders>
            <w:noWrap/>
            <w:hideMark/>
          </w:tcPr>
          <w:p w14:paraId="5A546464" w14:textId="77777777" w:rsidR="00A32549" w:rsidRPr="00C07BE5" w:rsidRDefault="00A32549" w:rsidP="00690A51">
            <w:pPr>
              <w:spacing w:after="0" w:line="240" w:lineRule="auto"/>
              <w:rPr>
                <w:rFonts w:cs="Times New Roman"/>
                <w:szCs w:val="24"/>
              </w:rPr>
            </w:pPr>
            <w:r w:rsidRPr="00C07BE5">
              <w:rPr>
                <w:rFonts w:cs="Times New Roman"/>
                <w:szCs w:val="24"/>
              </w:rPr>
              <w:t>RAO</w:t>
            </w:r>
          </w:p>
        </w:tc>
        <w:tc>
          <w:tcPr>
            <w:tcW w:w="6839" w:type="dxa"/>
            <w:tcBorders>
              <w:top w:val="single" w:sz="4" w:space="0" w:color="auto"/>
              <w:left w:val="nil"/>
              <w:bottom w:val="single" w:sz="4" w:space="0" w:color="auto"/>
              <w:right w:val="nil"/>
            </w:tcBorders>
            <w:noWrap/>
            <w:hideMark/>
          </w:tcPr>
          <w:p w14:paraId="729C4630" w14:textId="77777777" w:rsidR="00A32549" w:rsidRPr="00C07BE5" w:rsidRDefault="00A32549" w:rsidP="00690A51">
            <w:pPr>
              <w:spacing w:after="0" w:line="240" w:lineRule="auto"/>
              <w:rPr>
                <w:rFonts w:cs="Times New Roman"/>
                <w:szCs w:val="24"/>
              </w:rPr>
            </w:pPr>
            <w:r w:rsidRPr="00C07BE5">
              <w:rPr>
                <w:rFonts w:cs="Times New Roman"/>
                <w:szCs w:val="24"/>
              </w:rPr>
              <w:t>radioaktivni otpad</w:t>
            </w:r>
          </w:p>
        </w:tc>
      </w:tr>
      <w:tr w:rsidR="00A32549" w:rsidRPr="00C07BE5" w14:paraId="18A78CAE" w14:textId="77777777" w:rsidTr="00690A51">
        <w:trPr>
          <w:trHeight w:val="300"/>
        </w:trPr>
        <w:tc>
          <w:tcPr>
            <w:tcW w:w="2800" w:type="dxa"/>
            <w:tcBorders>
              <w:top w:val="single" w:sz="4" w:space="0" w:color="auto"/>
              <w:left w:val="nil"/>
              <w:bottom w:val="single" w:sz="4" w:space="0" w:color="auto"/>
              <w:right w:val="nil"/>
            </w:tcBorders>
            <w:noWrap/>
          </w:tcPr>
          <w:p w14:paraId="05871ABF" w14:textId="77777777" w:rsidR="00A32549" w:rsidRPr="00C07BE5" w:rsidRDefault="00A32549" w:rsidP="00690A51">
            <w:pPr>
              <w:spacing w:after="0" w:line="240" w:lineRule="auto"/>
              <w:rPr>
                <w:rFonts w:cs="Times New Roman"/>
                <w:szCs w:val="24"/>
              </w:rPr>
            </w:pPr>
            <w:r w:rsidRPr="00C07BE5">
              <w:rPr>
                <w:rFonts w:cs="Times New Roman"/>
                <w:szCs w:val="24"/>
              </w:rPr>
              <w:t>RD&amp;D</w:t>
            </w:r>
          </w:p>
        </w:tc>
        <w:tc>
          <w:tcPr>
            <w:tcW w:w="6839" w:type="dxa"/>
            <w:tcBorders>
              <w:top w:val="single" w:sz="4" w:space="0" w:color="auto"/>
              <w:left w:val="nil"/>
              <w:bottom w:val="single" w:sz="4" w:space="0" w:color="auto"/>
              <w:right w:val="nil"/>
            </w:tcBorders>
            <w:noWrap/>
          </w:tcPr>
          <w:p w14:paraId="2B19D25A" w14:textId="06E498BD" w:rsidR="00A32549" w:rsidRPr="00C07BE5" w:rsidRDefault="00A32549" w:rsidP="00690A51">
            <w:pPr>
              <w:spacing w:after="0" w:line="240" w:lineRule="auto"/>
              <w:rPr>
                <w:rFonts w:cs="Times New Roman"/>
                <w:szCs w:val="24"/>
              </w:rPr>
            </w:pPr>
            <w:r w:rsidRPr="00C07BE5">
              <w:rPr>
                <w:rFonts w:cs="Times New Roman"/>
                <w:szCs w:val="24"/>
              </w:rPr>
              <w:t>Razvojno istraživački i demonstracijski program</w:t>
            </w:r>
          </w:p>
        </w:tc>
      </w:tr>
      <w:tr w:rsidR="00A32549" w:rsidRPr="00C07BE5" w14:paraId="6E684574" w14:textId="77777777" w:rsidTr="00690A51">
        <w:trPr>
          <w:trHeight w:val="300"/>
        </w:trPr>
        <w:tc>
          <w:tcPr>
            <w:tcW w:w="2800" w:type="dxa"/>
            <w:tcBorders>
              <w:top w:val="single" w:sz="4" w:space="0" w:color="auto"/>
              <w:left w:val="nil"/>
              <w:bottom w:val="single" w:sz="4" w:space="0" w:color="auto"/>
              <w:right w:val="nil"/>
            </w:tcBorders>
            <w:noWrap/>
            <w:hideMark/>
          </w:tcPr>
          <w:p w14:paraId="1C809F06" w14:textId="77777777" w:rsidR="00A32549" w:rsidRPr="00C07BE5" w:rsidRDefault="00A32549" w:rsidP="00690A51">
            <w:pPr>
              <w:spacing w:after="0" w:line="240" w:lineRule="auto"/>
              <w:rPr>
                <w:rFonts w:cs="Times New Roman"/>
                <w:szCs w:val="24"/>
              </w:rPr>
            </w:pPr>
            <w:r w:rsidRPr="00C07BE5">
              <w:rPr>
                <w:rFonts w:cs="Times New Roman"/>
                <w:szCs w:val="24"/>
              </w:rPr>
              <w:t>RH</w:t>
            </w:r>
          </w:p>
        </w:tc>
        <w:tc>
          <w:tcPr>
            <w:tcW w:w="6839" w:type="dxa"/>
            <w:tcBorders>
              <w:top w:val="single" w:sz="4" w:space="0" w:color="auto"/>
              <w:left w:val="nil"/>
              <w:bottom w:val="single" w:sz="4" w:space="0" w:color="auto"/>
              <w:right w:val="nil"/>
            </w:tcBorders>
            <w:noWrap/>
            <w:hideMark/>
          </w:tcPr>
          <w:p w14:paraId="0D61723D" w14:textId="77777777" w:rsidR="00A32549" w:rsidRPr="00C07BE5" w:rsidRDefault="00A32549" w:rsidP="00690A51">
            <w:pPr>
              <w:spacing w:after="0" w:line="240" w:lineRule="auto"/>
              <w:rPr>
                <w:rFonts w:cs="Times New Roman"/>
                <w:szCs w:val="24"/>
              </w:rPr>
            </w:pPr>
            <w:r w:rsidRPr="00C07BE5">
              <w:rPr>
                <w:rFonts w:cs="Times New Roman"/>
                <w:szCs w:val="24"/>
              </w:rPr>
              <w:t>Republika Hrvatska</w:t>
            </w:r>
          </w:p>
        </w:tc>
      </w:tr>
      <w:tr w:rsidR="00A32549" w:rsidRPr="00C07BE5" w14:paraId="570DB5FF" w14:textId="77777777" w:rsidTr="00690A51">
        <w:trPr>
          <w:trHeight w:val="300"/>
        </w:trPr>
        <w:tc>
          <w:tcPr>
            <w:tcW w:w="2800" w:type="dxa"/>
            <w:tcBorders>
              <w:top w:val="single" w:sz="4" w:space="0" w:color="auto"/>
              <w:left w:val="nil"/>
              <w:bottom w:val="single" w:sz="4" w:space="0" w:color="auto"/>
              <w:right w:val="nil"/>
            </w:tcBorders>
            <w:noWrap/>
            <w:hideMark/>
          </w:tcPr>
          <w:p w14:paraId="313D754B" w14:textId="77777777" w:rsidR="00A32549" w:rsidRPr="00C07BE5" w:rsidRDefault="00A32549" w:rsidP="00690A51">
            <w:pPr>
              <w:spacing w:after="0" w:line="240" w:lineRule="auto"/>
              <w:rPr>
                <w:rFonts w:cs="Times New Roman"/>
                <w:szCs w:val="24"/>
              </w:rPr>
            </w:pPr>
            <w:r w:rsidRPr="00C07BE5">
              <w:rPr>
                <w:rFonts w:cs="Times New Roman"/>
                <w:szCs w:val="24"/>
              </w:rPr>
              <w:t>RW</w:t>
            </w:r>
          </w:p>
        </w:tc>
        <w:tc>
          <w:tcPr>
            <w:tcW w:w="6839" w:type="dxa"/>
            <w:tcBorders>
              <w:top w:val="single" w:sz="4" w:space="0" w:color="auto"/>
              <w:left w:val="nil"/>
              <w:bottom w:val="single" w:sz="4" w:space="0" w:color="auto"/>
              <w:right w:val="nil"/>
            </w:tcBorders>
            <w:noWrap/>
            <w:hideMark/>
          </w:tcPr>
          <w:p w14:paraId="1DC9855B" w14:textId="77777777" w:rsidR="00A32549" w:rsidRPr="00C07BE5" w:rsidRDefault="00A32549" w:rsidP="00690A51">
            <w:pPr>
              <w:spacing w:after="0" w:line="240" w:lineRule="auto"/>
              <w:rPr>
                <w:rFonts w:cs="Times New Roman"/>
                <w:szCs w:val="24"/>
              </w:rPr>
            </w:pPr>
            <w:r w:rsidRPr="00C07BE5">
              <w:rPr>
                <w:rFonts w:cs="Times New Roman"/>
                <w:szCs w:val="24"/>
              </w:rPr>
              <w:t>Radioactive Waste</w:t>
            </w:r>
          </w:p>
        </w:tc>
      </w:tr>
      <w:tr w:rsidR="00A32549" w:rsidRPr="00C07BE5" w14:paraId="32C80069" w14:textId="77777777" w:rsidTr="00690A51">
        <w:trPr>
          <w:trHeight w:val="300"/>
        </w:trPr>
        <w:tc>
          <w:tcPr>
            <w:tcW w:w="2800" w:type="dxa"/>
            <w:tcBorders>
              <w:top w:val="single" w:sz="4" w:space="0" w:color="auto"/>
              <w:left w:val="nil"/>
              <w:bottom w:val="single" w:sz="4" w:space="0" w:color="auto"/>
              <w:right w:val="nil"/>
            </w:tcBorders>
            <w:noWrap/>
            <w:hideMark/>
          </w:tcPr>
          <w:p w14:paraId="440BCB7B" w14:textId="77777777" w:rsidR="00A32549" w:rsidRPr="00C07BE5" w:rsidRDefault="00A32549" w:rsidP="00690A51">
            <w:pPr>
              <w:spacing w:after="0" w:line="240" w:lineRule="auto"/>
              <w:rPr>
                <w:rFonts w:cs="Times New Roman"/>
                <w:szCs w:val="24"/>
              </w:rPr>
            </w:pPr>
            <w:r w:rsidRPr="00C07BE5">
              <w:rPr>
                <w:rFonts w:cs="Times New Roman"/>
                <w:szCs w:val="24"/>
              </w:rPr>
              <w:t xml:space="preserve">S&amp;P 500 </w:t>
            </w:r>
          </w:p>
        </w:tc>
        <w:tc>
          <w:tcPr>
            <w:tcW w:w="6839" w:type="dxa"/>
            <w:tcBorders>
              <w:top w:val="single" w:sz="4" w:space="0" w:color="auto"/>
              <w:left w:val="nil"/>
              <w:bottom w:val="single" w:sz="4" w:space="0" w:color="auto"/>
              <w:right w:val="nil"/>
            </w:tcBorders>
            <w:noWrap/>
            <w:hideMark/>
          </w:tcPr>
          <w:p w14:paraId="138A1157" w14:textId="77777777" w:rsidR="00A32549" w:rsidRPr="00C07BE5" w:rsidRDefault="00A32549" w:rsidP="00690A51">
            <w:pPr>
              <w:spacing w:after="0" w:line="240" w:lineRule="auto"/>
              <w:rPr>
                <w:rFonts w:cs="Times New Roman"/>
                <w:szCs w:val="24"/>
              </w:rPr>
            </w:pPr>
            <w:r w:rsidRPr="00C07BE5">
              <w:rPr>
                <w:rFonts w:cs="Times New Roman"/>
                <w:szCs w:val="24"/>
              </w:rPr>
              <w:t>Burzovni indeks koji prati 500 najvećih tvrtki u Sjedinjenim Američkim Državama</w:t>
            </w:r>
          </w:p>
        </w:tc>
      </w:tr>
      <w:tr w:rsidR="00A32549" w:rsidRPr="00C07BE5" w14:paraId="4519926F" w14:textId="77777777" w:rsidTr="00690A51">
        <w:trPr>
          <w:trHeight w:val="300"/>
        </w:trPr>
        <w:tc>
          <w:tcPr>
            <w:tcW w:w="2800" w:type="dxa"/>
            <w:tcBorders>
              <w:top w:val="single" w:sz="4" w:space="0" w:color="auto"/>
              <w:left w:val="nil"/>
              <w:bottom w:val="single" w:sz="4" w:space="0" w:color="auto"/>
              <w:right w:val="nil"/>
            </w:tcBorders>
            <w:noWrap/>
            <w:hideMark/>
          </w:tcPr>
          <w:p w14:paraId="3DC492C3" w14:textId="77777777" w:rsidR="00A32549" w:rsidRPr="00C07BE5" w:rsidRDefault="00A32549" w:rsidP="00690A51">
            <w:pPr>
              <w:spacing w:after="0" w:line="240" w:lineRule="auto"/>
              <w:rPr>
                <w:rFonts w:cs="Times New Roman"/>
                <w:szCs w:val="24"/>
              </w:rPr>
            </w:pPr>
            <w:r w:rsidRPr="00C07BE5">
              <w:rPr>
                <w:rFonts w:cs="Times New Roman"/>
                <w:szCs w:val="24"/>
              </w:rPr>
              <w:t>SAD</w:t>
            </w:r>
          </w:p>
        </w:tc>
        <w:tc>
          <w:tcPr>
            <w:tcW w:w="6839" w:type="dxa"/>
            <w:tcBorders>
              <w:top w:val="single" w:sz="4" w:space="0" w:color="auto"/>
              <w:left w:val="nil"/>
              <w:bottom w:val="single" w:sz="4" w:space="0" w:color="auto"/>
              <w:right w:val="nil"/>
            </w:tcBorders>
            <w:noWrap/>
            <w:hideMark/>
          </w:tcPr>
          <w:p w14:paraId="393F1BC8" w14:textId="77777777" w:rsidR="00A32549" w:rsidRPr="00C07BE5" w:rsidRDefault="00A32549" w:rsidP="00690A51">
            <w:pPr>
              <w:spacing w:after="0" w:line="240" w:lineRule="auto"/>
              <w:rPr>
                <w:rFonts w:cs="Times New Roman"/>
                <w:szCs w:val="24"/>
              </w:rPr>
            </w:pPr>
            <w:r w:rsidRPr="00C07BE5">
              <w:rPr>
                <w:rFonts w:cs="Times New Roman"/>
                <w:szCs w:val="24"/>
              </w:rPr>
              <w:t>Sjedinjene Američke Države</w:t>
            </w:r>
          </w:p>
        </w:tc>
      </w:tr>
      <w:tr w:rsidR="00A32549" w:rsidRPr="00C07BE5" w14:paraId="2E9AA254" w14:textId="77777777" w:rsidTr="00690A51">
        <w:trPr>
          <w:trHeight w:val="300"/>
        </w:trPr>
        <w:tc>
          <w:tcPr>
            <w:tcW w:w="2800" w:type="dxa"/>
            <w:tcBorders>
              <w:top w:val="single" w:sz="4" w:space="0" w:color="auto"/>
              <w:left w:val="nil"/>
              <w:bottom w:val="single" w:sz="4" w:space="0" w:color="auto"/>
              <w:right w:val="nil"/>
            </w:tcBorders>
            <w:noWrap/>
          </w:tcPr>
          <w:p w14:paraId="011390CF" w14:textId="77777777" w:rsidR="00A32549" w:rsidRPr="00C07BE5" w:rsidRDefault="00A32549" w:rsidP="00690A51">
            <w:pPr>
              <w:spacing w:after="0" w:line="240" w:lineRule="auto"/>
              <w:rPr>
                <w:rFonts w:cs="Times New Roman"/>
                <w:szCs w:val="24"/>
                <w:highlight w:val="yellow"/>
              </w:rPr>
            </w:pPr>
            <w:r w:rsidRPr="00C07BE5">
              <w:rPr>
                <w:rFonts w:cs="Times New Roman"/>
                <w:szCs w:val="24"/>
              </w:rPr>
              <w:t>SafeND</w:t>
            </w:r>
          </w:p>
        </w:tc>
        <w:tc>
          <w:tcPr>
            <w:tcW w:w="6839" w:type="dxa"/>
            <w:tcBorders>
              <w:top w:val="single" w:sz="4" w:space="0" w:color="auto"/>
              <w:left w:val="nil"/>
              <w:bottom w:val="single" w:sz="4" w:space="0" w:color="auto"/>
              <w:right w:val="nil"/>
            </w:tcBorders>
            <w:noWrap/>
          </w:tcPr>
          <w:p w14:paraId="66A6F890" w14:textId="77777777" w:rsidR="00A32549" w:rsidRPr="00C07BE5" w:rsidRDefault="00A32549" w:rsidP="00690A51">
            <w:pPr>
              <w:spacing w:after="0" w:line="240" w:lineRule="auto"/>
              <w:rPr>
                <w:rFonts w:cs="Times New Roman"/>
                <w:szCs w:val="24"/>
              </w:rPr>
            </w:pPr>
            <w:r w:rsidRPr="00C07BE5">
              <w:rPr>
                <w:rFonts w:cs="Times New Roman"/>
                <w:szCs w:val="24"/>
              </w:rPr>
              <w:t>Interdisciplinarni istraživački simpozij</w:t>
            </w:r>
          </w:p>
        </w:tc>
      </w:tr>
      <w:tr w:rsidR="00A32549" w:rsidRPr="00C07BE5" w14:paraId="1E506807" w14:textId="77777777" w:rsidTr="00690A51">
        <w:trPr>
          <w:trHeight w:val="300"/>
        </w:trPr>
        <w:tc>
          <w:tcPr>
            <w:tcW w:w="2800" w:type="dxa"/>
            <w:tcBorders>
              <w:top w:val="single" w:sz="4" w:space="0" w:color="auto"/>
              <w:left w:val="nil"/>
              <w:bottom w:val="single" w:sz="4" w:space="0" w:color="auto"/>
              <w:right w:val="nil"/>
            </w:tcBorders>
            <w:noWrap/>
          </w:tcPr>
          <w:p w14:paraId="7D5232AD" w14:textId="77777777" w:rsidR="00A32549" w:rsidRPr="00C07BE5" w:rsidRDefault="00A32549" w:rsidP="00690A51">
            <w:pPr>
              <w:spacing w:after="0" w:line="240" w:lineRule="auto"/>
              <w:rPr>
                <w:rFonts w:cs="Times New Roman"/>
                <w:szCs w:val="24"/>
              </w:rPr>
            </w:pPr>
            <w:r w:rsidRPr="00C07BE5">
              <w:rPr>
                <w:rFonts w:cs="Times New Roman"/>
                <w:szCs w:val="24"/>
              </w:rPr>
              <w:t>SEE</w:t>
            </w:r>
          </w:p>
        </w:tc>
        <w:tc>
          <w:tcPr>
            <w:tcW w:w="6839" w:type="dxa"/>
            <w:tcBorders>
              <w:top w:val="single" w:sz="4" w:space="0" w:color="auto"/>
              <w:left w:val="nil"/>
              <w:bottom w:val="single" w:sz="4" w:space="0" w:color="auto"/>
              <w:right w:val="nil"/>
            </w:tcBorders>
            <w:noWrap/>
          </w:tcPr>
          <w:p w14:paraId="556EFF99" w14:textId="77777777" w:rsidR="00A32549" w:rsidRPr="00C07BE5" w:rsidRDefault="00A32549" w:rsidP="00690A51">
            <w:pPr>
              <w:spacing w:after="0" w:line="240" w:lineRule="auto"/>
              <w:rPr>
                <w:rFonts w:cs="Times New Roman"/>
                <w:szCs w:val="24"/>
              </w:rPr>
            </w:pPr>
            <w:r w:rsidRPr="00C07BE5">
              <w:rPr>
                <w:rFonts w:cs="Times New Roman"/>
                <w:szCs w:val="24"/>
              </w:rPr>
              <w:t>Southeast Europe</w:t>
            </w:r>
          </w:p>
        </w:tc>
      </w:tr>
      <w:tr w:rsidR="00A32549" w:rsidRPr="00C07BE5" w14:paraId="1E5DA939" w14:textId="77777777" w:rsidTr="00690A51">
        <w:trPr>
          <w:trHeight w:val="340"/>
        </w:trPr>
        <w:tc>
          <w:tcPr>
            <w:tcW w:w="2800" w:type="dxa"/>
            <w:tcBorders>
              <w:top w:val="single" w:sz="4" w:space="0" w:color="auto"/>
              <w:left w:val="nil"/>
              <w:bottom w:val="single" w:sz="4" w:space="0" w:color="auto"/>
              <w:right w:val="nil"/>
            </w:tcBorders>
            <w:noWrap/>
          </w:tcPr>
          <w:p w14:paraId="0DB3870C" w14:textId="77777777" w:rsidR="00A32549" w:rsidRPr="00C07BE5" w:rsidRDefault="00A32549" w:rsidP="00690A51">
            <w:pPr>
              <w:spacing w:after="0" w:line="240" w:lineRule="auto"/>
              <w:rPr>
                <w:rFonts w:cs="Times New Roman"/>
                <w:szCs w:val="24"/>
              </w:rPr>
            </w:pPr>
            <w:r w:rsidRPr="00C07BE5">
              <w:rPr>
                <w:rFonts w:cs="Times New Roman"/>
                <w:szCs w:val="24"/>
              </w:rPr>
              <w:t>SPUNN</w:t>
            </w:r>
          </w:p>
        </w:tc>
        <w:tc>
          <w:tcPr>
            <w:tcW w:w="6839" w:type="dxa"/>
            <w:tcBorders>
              <w:top w:val="single" w:sz="4" w:space="0" w:color="auto"/>
              <w:left w:val="nil"/>
              <w:bottom w:val="single" w:sz="4" w:space="0" w:color="auto"/>
              <w:right w:val="nil"/>
            </w:tcBorders>
          </w:tcPr>
          <w:p w14:paraId="3B509B2C" w14:textId="77777777" w:rsidR="00A32549" w:rsidRPr="00C07BE5" w:rsidRDefault="00A32549" w:rsidP="00690A51">
            <w:pPr>
              <w:spacing w:after="0" w:line="240" w:lineRule="auto"/>
              <w:rPr>
                <w:rFonts w:cs="Times New Roman"/>
                <w:szCs w:val="24"/>
              </w:rPr>
            </w:pPr>
            <w:r w:rsidRPr="00C07BE5">
              <w:rPr>
                <w:rFonts w:cs="Times New Roman"/>
                <w:szCs w:val="24"/>
              </w:rPr>
              <w:t>Sustav pravodobnog upozoravanja na nuklearnu nesreću</w:t>
            </w:r>
          </w:p>
        </w:tc>
      </w:tr>
      <w:tr w:rsidR="00A32549" w:rsidRPr="00C07BE5" w14:paraId="6FA927D9" w14:textId="77777777" w:rsidTr="00690A51">
        <w:trPr>
          <w:trHeight w:val="900"/>
        </w:trPr>
        <w:tc>
          <w:tcPr>
            <w:tcW w:w="2800" w:type="dxa"/>
            <w:tcBorders>
              <w:top w:val="single" w:sz="4" w:space="0" w:color="auto"/>
              <w:left w:val="nil"/>
              <w:bottom w:val="single" w:sz="4" w:space="0" w:color="auto"/>
              <w:right w:val="nil"/>
            </w:tcBorders>
            <w:noWrap/>
            <w:hideMark/>
          </w:tcPr>
          <w:p w14:paraId="0A31B911" w14:textId="77777777" w:rsidR="00A32549" w:rsidRPr="00C07BE5" w:rsidRDefault="00A32549" w:rsidP="00690A51">
            <w:pPr>
              <w:spacing w:after="0" w:line="240" w:lineRule="auto"/>
              <w:rPr>
                <w:rFonts w:cs="Times New Roman"/>
                <w:szCs w:val="24"/>
              </w:rPr>
            </w:pPr>
            <w:r w:rsidRPr="00C07BE5">
              <w:rPr>
                <w:rFonts w:cs="Times New Roman"/>
                <w:szCs w:val="24"/>
              </w:rPr>
              <w:t>Strategija</w:t>
            </w:r>
          </w:p>
        </w:tc>
        <w:tc>
          <w:tcPr>
            <w:tcW w:w="6839" w:type="dxa"/>
            <w:tcBorders>
              <w:top w:val="single" w:sz="4" w:space="0" w:color="auto"/>
              <w:left w:val="nil"/>
              <w:bottom w:val="single" w:sz="4" w:space="0" w:color="auto"/>
              <w:right w:val="nil"/>
            </w:tcBorders>
            <w:hideMark/>
          </w:tcPr>
          <w:p w14:paraId="30956DFC" w14:textId="77777777" w:rsidR="00A32549" w:rsidRPr="00C07BE5" w:rsidRDefault="00A32549" w:rsidP="00690A51">
            <w:pPr>
              <w:spacing w:after="0" w:line="240" w:lineRule="auto"/>
              <w:rPr>
                <w:rFonts w:cs="Times New Roman"/>
                <w:szCs w:val="24"/>
              </w:rPr>
            </w:pPr>
            <w:r w:rsidRPr="00C07BE5">
              <w:rPr>
                <w:rFonts w:cs="Times New Roman"/>
                <w:szCs w:val="24"/>
              </w:rPr>
              <w:t>Strategija zbrinjavanja radioaktivnog otpada, iskorištenih izvora i istrošenog nuklearnog goriva (kraće: Strategija zbrinjavanja RAO-a, II-a i ING-a) (Narodne novine br. 125/14)</w:t>
            </w:r>
          </w:p>
        </w:tc>
      </w:tr>
      <w:tr w:rsidR="00A32549" w:rsidRPr="00C07BE5" w14:paraId="6F3F29F2" w14:textId="77777777" w:rsidTr="00690A51">
        <w:trPr>
          <w:trHeight w:val="300"/>
        </w:trPr>
        <w:tc>
          <w:tcPr>
            <w:tcW w:w="2800" w:type="dxa"/>
            <w:tcBorders>
              <w:top w:val="single" w:sz="4" w:space="0" w:color="auto"/>
              <w:left w:val="nil"/>
              <w:bottom w:val="single" w:sz="4" w:space="0" w:color="auto"/>
              <w:right w:val="nil"/>
            </w:tcBorders>
            <w:noWrap/>
          </w:tcPr>
          <w:p w14:paraId="1E5854F0" w14:textId="77777777" w:rsidR="00A32549" w:rsidRPr="00C07BE5" w:rsidRDefault="00A32549" w:rsidP="00690A51">
            <w:pPr>
              <w:spacing w:after="0" w:line="240" w:lineRule="auto"/>
              <w:rPr>
                <w:rFonts w:cs="Times New Roman"/>
                <w:szCs w:val="24"/>
              </w:rPr>
            </w:pPr>
            <w:r w:rsidRPr="00C07BE5">
              <w:rPr>
                <w:rFonts w:cs="Times New Roman"/>
                <w:szCs w:val="24"/>
              </w:rPr>
              <w:t>USD</w:t>
            </w:r>
          </w:p>
        </w:tc>
        <w:tc>
          <w:tcPr>
            <w:tcW w:w="6839" w:type="dxa"/>
            <w:tcBorders>
              <w:top w:val="single" w:sz="4" w:space="0" w:color="auto"/>
              <w:left w:val="nil"/>
              <w:bottom w:val="single" w:sz="4" w:space="0" w:color="auto"/>
              <w:right w:val="nil"/>
            </w:tcBorders>
            <w:noWrap/>
          </w:tcPr>
          <w:p w14:paraId="3DBF4ECF" w14:textId="77777777" w:rsidR="00A32549" w:rsidRPr="00C07BE5" w:rsidRDefault="00A32549" w:rsidP="00690A51">
            <w:pPr>
              <w:spacing w:after="0" w:line="240" w:lineRule="auto"/>
              <w:rPr>
                <w:rFonts w:cs="Times New Roman"/>
                <w:szCs w:val="24"/>
              </w:rPr>
            </w:pPr>
            <w:r w:rsidRPr="00C07BE5">
              <w:rPr>
                <w:rFonts w:cs="Times New Roman"/>
                <w:szCs w:val="24"/>
              </w:rPr>
              <w:t>Američki dolar</w:t>
            </w:r>
          </w:p>
        </w:tc>
      </w:tr>
      <w:tr w:rsidR="00A32549" w:rsidRPr="00C07BE5" w14:paraId="2AFE7687" w14:textId="77777777" w:rsidTr="00690A51">
        <w:trPr>
          <w:trHeight w:val="300"/>
        </w:trPr>
        <w:tc>
          <w:tcPr>
            <w:tcW w:w="2800" w:type="dxa"/>
            <w:tcBorders>
              <w:top w:val="single" w:sz="4" w:space="0" w:color="auto"/>
              <w:left w:val="nil"/>
              <w:bottom w:val="single" w:sz="4" w:space="0" w:color="auto"/>
              <w:right w:val="nil"/>
            </w:tcBorders>
            <w:noWrap/>
          </w:tcPr>
          <w:p w14:paraId="65392571" w14:textId="77777777" w:rsidR="00A32549" w:rsidRPr="00C07BE5" w:rsidRDefault="00A32549" w:rsidP="00690A51">
            <w:pPr>
              <w:spacing w:after="0" w:line="240" w:lineRule="auto"/>
              <w:rPr>
                <w:rFonts w:cs="Times New Roman"/>
                <w:szCs w:val="24"/>
                <w:highlight w:val="yellow"/>
              </w:rPr>
            </w:pPr>
            <w:r w:rsidRPr="00C07BE5">
              <w:rPr>
                <w:rFonts w:cs="Times New Roman"/>
                <w:szCs w:val="24"/>
              </w:rPr>
              <w:t>Zakon o Fondu</w:t>
            </w:r>
          </w:p>
        </w:tc>
        <w:tc>
          <w:tcPr>
            <w:tcW w:w="6839" w:type="dxa"/>
            <w:tcBorders>
              <w:top w:val="single" w:sz="4" w:space="0" w:color="auto"/>
              <w:left w:val="nil"/>
              <w:bottom w:val="single" w:sz="4" w:space="0" w:color="auto"/>
              <w:right w:val="nil"/>
            </w:tcBorders>
            <w:noWrap/>
          </w:tcPr>
          <w:p w14:paraId="5C5E5C0E" w14:textId="77777777" w:rsidR="00A32549" w:rsidRPr="00C07BE5" w:rsidRDefault="00A32549" w:rsidP="00690A51">
            <w:pPr>
              <w:spacing w:after="0" w:line="240" w:lineRule="auto"/>
              <w:rPr>
                <w:rFonts w:cs="Times New Roman"/>
                <w:szCs w:val="24"/>
              </w:rPr>
            </w:pPr>
            <w:r w:rsidRPr="00C07BE5">
              <w:rPr>
                <w:rFonts w:cs="Times New Roman"/>
                <w:szCs w:val="24"/>
              </w:rPr>
              <w:t>Zakon o Fondu za financiranje razgradnje i zbrinjavanja radioaktivnog otpada i istrošenoga nuklearnog goriva Nuklearne elektrane Krško (NN 107/07 i 21/22)</w:t>
            </w:r>
          </w:p>
        </w:tc>
      </w:tr>
      <w:tr w:rsidR="00A32549" w:rsidRPr="00C07BE5" w14:paraId="2B744E0C" w14:textId="77777777" w:rsidTr="00690A51">
        <w:trPr>
          <w:trHeight w:val="300"/>
        </w:trPr>
        <w:tc>
          <w:tcPr>
            <w:tcW w:w="2800" w:type="dxa"/>
            <w:tcBorders>
              <w:top w:val="single" w:sz="4" w:space="0" w:color="auto"/>
              <w:left w:val="nil"/>
              <w:bottom w:val="single" w:sz="4" w:space="0" w:color="auto"/>
              <w:right w:val="nil"/>
            </w:tcBorders>
            <w:noWrap/>
          </w:tcPr>
          <w:p w14:paraId="463A2A6B" w14:textId="77777777" w:rsidR="00A32549" w:rsidRPr="00C07BE5" w:rsidRDefault="00A32549" w:rsidP="00690A51">
            <w:pPr>
              <w:spacing w:after="0" w:line="240" w:lineRule="auto"/>
              <w:rPr>
                <w:rFonts w:cs="Times New Roman"/>
                <w:szCs w:val="24"/>
              </w:rPr>
            </w:pPr>
            <w:r w:rsidRPr="00C07BE5">
              <w:rPr>
                <w:rFonts w:cs="Times New Roman"/>
                <w:szCs w:val="24"/>
              </w:rPr>
              <w:t>WAC</w:t>
            </w:r>
          </w:p>
        </w:tc>
        <w:tc>
          <w:tcPr>
            <w:tcW w:w="6839" w:type="dxa"/>
            <w:tcBorders>
              <w:top w:val="single" w:sz="4" w:space="0" w:color="auto"/>
              <w:left w:val="nil"/>
              <w:bottom w:val="single" w:sz="4" w:space="0" w:color="auto"/>
              <w:right w:val="nil"/>
            </w:tcBorders>
            <w:noWrap/>
          </w:tcPr>
          <w:p w14:paraId="407A35F2" w14:textId="2CC6F0D6" w:rsidR="00A32549" w:rsidRPr="00C07BE5" w:rsidRDefault="00A32549" w:rsidP="00690A51">
            <w:pPr>
              <w:spacing w:after="0" w:line="240" w:lineRule="auto"/>
              <w:rPr>
                <w:rFonts w:cs="Times New Roman"/>
                <w:szCs w:val="24"/>
              </w:rPr>
            </w:pPr>
            <w:r w:rsidRPr="00C07BE5">
              <w:rPr>
                <w:rFonts w:cs="Times New Roman"/>
                <w:szCs w:val="24"/>
              </w:rPr>
              <w:t>Kriteriji prihvata otpada</w:t>
            </w:r>
          </w:p>
        </w:tc>
      </w:tr>
    </w:tbl>
    <w:p w14:paraId="6FD52529" w14:textId="77777777" w:rsidR="00423CDD" w:rsidRPr="00C07BE5" w:rsidRDefault="00423CDD" w:rsidP="00AB7EA2">
      <w:pPr>
        <w:rPr>
          <w:rFonts w:ascii="Montserrat" w:hAnsi="Montserrat"/>
        </w:rPr>
      </w:pPr>
    </w:p>
    <w:p w14:paraId="55021A00" w14:textId="3B54D2CE" w:rsidR="00F72F1E" w:rsidRPr="00C07BE5" w:rsidRDefault="00F72F1E">
      <w:pPr>
        <w:spacing w:after="160" w:line="360" w:lineRule="auto"/>
        <w:jc w:val="left"/>
        <w:rPr>
          <w:rFonts w:ascii="Montserrat" w:hAnsi="Montserrat" w:cstheme="minorHAnsi"/>
        </w:rPr>
      </w:pPr>
      <w:r w:rsidRPr="00C07BE5">
        <w:br w:type="page"/>
      </w:r>
    </w:p>
    <w:p w14:paraId="5AB3703E" w14:textId="1D859DB2" w:rsidR="00F72F1E" w:rsidRPr="00C07BE5" w:rsidRDefault="00F72F1E" w:rsidP="001C1104">
      <w:pPr>
        <w:pStyle w:val="Heading1"/>
      </w:pPr>
      <w:bookmarkStart w:id="132" w:name="_Toc127350274"/>
      <w:bookmarkStart w:id="133" w:name="_Toc158992050"/>
      <w:r w:rsidRPr="00C07BE5">
        <w:lastRenderedPageBreak/>
        <w:t xml:space="preserve">Dodatak </w:t>
      </w:r>
      <w:r w:rsidR="00A050EE" w:rsidRPr="00C07BE5">
        <w:t>III</w:t>
      </w:r>
      <w:r w:rsidR="00EC4DA3" w:rsidRPr="00C07BE5">
        <w:t xml:space="preserve"> </w:t>
      </w:r>
      <w:r w:rsidRPr="00C07BE5">
        <w:t>– popis tablica</w:t>
      </w:r>
      <w:r w:rsidR="0028051C" w:rsidRPr="00C07BE5">
        <w:t xml:space="preserve"> i grafikona</w:t>
      </w:r>
      <w:bookmarkEnd w:id="132"/>
      <w:bookmarkEnd w:id="133"/>
    </w:p>
    <w:p w14:paraId="6D5295D7" w14:textId="622A0D93" w:rsidR="005C1DE3" w:rsidRDefault="00283463">
      <w:pPr>
        <w:pStyle w:val="TableofFigures"/>
        <w:tabs>
          <w:tab w:val="right" w:leader="dot" w:pos="9607"/>
        </w:tabs>
        <w:rPr>
          <w:rFonts w:asciiTheme="minorHAnsi" w:hAnsiTheme="minorHAnsi"/>
          <w:noProof/>
          <w:color w:val="auto"/>
          <w:kern w:val="2"/>
          <w:szCs w:val="24"/>
          <w:lang w:eastAsia="hr-HR"/>
          <w14:ligatures w14:val="standardContextual"/>
        </w:rPr>
      </w:pPr>
      <w:r w:rsidRPr="00C07BE5">
        <w:rPr>
          <w:rStyle w:val="Hyperlink"/>
          <w:rFonts w:cs="Times New Roman"/>
          <w:noProof/>
          <w:szCs w:val="24"/>
        </w:rPr>
        <w:fldChar w:fldCharType="begin"/>
      </w:r>
      <w:r w:rsidRPr="00C07BE5">
        <w:rPr>
          <w:rStyle w:val="Hyperlink"/>
          <w:rFonts w:cs="Times New Roman"/>
          <w:noProof/>
          <w:szCs w:val="24"/>
        </w:rPr>
        <w:instrText xml:space="preserve"> TOC \h \z \c "Tablica" </w:instrText>
      </w:r>
      <w:r w:rsidRPr="00C07BE5">
        <w:rPr>
          <w:rStyle w:val="Hyperlink"/>
          <w:rFonts w:cs="Times New Roman"/>
          <w:noProof/>
          <w:szCs w:val="24"/>
        </w:rPr>
        <w:fldChar w:fldCharType="separate"/>
      </w:r>
      <w:hyperlink w:anchor="_Toc158991958" w:history="1">
        <w:r w:rsidR="005C1DE3" w:rsidRPr="00200687">
          <w:rPr>
            <w:rStyle w:val="Hyperlink"/>
            <w:rFonts w:cs="Times New Roman"/>
            <w:noProof/>
          </w:rPr>
          <w:t>Tablica 1 – Financijski rezultat</w:t>
        </w:r>
        <w:r w:rsidR="005C1DE3">
          <w:rPr>
            <w:noProof/>
            <w:webHidden/>
          </w:rPr>
          <w:tab/>
        </w:r>
        <w:r w:rsidR="005C1DE3">
          <w:rPr>
            <w:noProof/>
            <w:webHidden/>
          </w:rPr>
          <w:fldChar w:fldCharType="begin"/>
        </w:r>
        <w:r w:rsidR="005C1DE3">
          <w:rPr>
            <w:noProof/>
            <w:webHidden/>
          </w:rPr>
          <w:instrText xml:space="preserve"> PAGEREF _Toc158991958 \h </w:instrText>
        </w:r>
        <w:r w:rsidR="005C1DE3">
          <w:rPr>
            <w:noProof/>
            <w:webHidden/>
          </w:rPr>
        </w:r>
        <w:r w:rsidR="005C1DE3">
          <w:rPr>
            <w:noProof/>
            <w:webHidden/>
          </w:rPr>
          <w:fldChar w:fldCharType="separate"/>
        </w:r>
        <w:r w:rsidR="005C1DE3">
          <w:rPr>
            <w:noProof/>
            <w:webHidden/>
          </w:rPr>
          <w:t>15</w:t>
        </w:r>
        <w:r w:rsidR="005C1DE3">
          <w:rPr>
            <w:noProof/>
            <w:webHidden/>
          </w:rPr>
          <w:fldChar w:fldCharType="end"/>
        </w:r>
      </w:hyperlink>
    </w:p>
    <w:p w14:paraId="144B392B" w14:textId="74273A4F" w:rsidR="005C1DE3" w:rsidRDefault="00EB619D">
      <w:pPr>
        <w:pStyle w:val="TableofFigures"/>
        <w:tabs>
          <w:tab w:val="right" w:leader="dot" w:pos="9607"/>
        </w:tabs>
        <w:rPr>
          <w:rFonts w:asciiTheme="minorHAnsi" w:hAnsiTheme="minorHAnsi"/>
          <w:noProof/>
          <w:color w:val="auto"/>
          <w:kern w:val="2"/>
          <w:szCs w:val="24"/>
          <w:lang w:eastAsia="hr-HR"/>
          <w14:ligatures w14:val="standardContextual"/>
        </w:rPr>
      </w:pPr>
      <w:hyperlink w:anchor="_Toc158991959" w:history="1">
        <w:r w:rsidR="005C1DE3" w:rsidRPr="00200687">
          <w:rPr>
            <w:rStyle w:val="Hyperlink"/>
            <w:rFonts w:cs="Times New Roman"/>
            <w:noProof/>
          </w:rPr>
          <w:t>Tablica 2 – RAO i ostali rashodi</w:t>
        </w:r>
        <w:r w:rsidR="005C1DE3">
          <w:rPr>
            <w:noProof/>
            <w:webHidden/>
          </w:rPr>
          <w:tab/>
        </w:r>
        <w:r w:rsidR="005C1DE3">
          <w:rPr>
            <w:noProof/>
            <w:webHidden/>
          </w:rPr>
          <w:fldChar w:fldCharType="begin"/>
        </w:r>
        <w:r w:rsidR="005C1DE3">
          <w:rPr>
            <w:noProof/>
            <w:webHidden/>
          </w:rPr>
          <w:instrText xml:space="preserve"> PAGEREF _Toc158991959 \h </w:instrText>
        </w:r>
        <w:r w:rsidR="005C1DE3">
          <w:rPr>
            <w:noProof/>
            <w:webHidden/>
          </w:rPr>
        </w:r>
        <w:r w:rsidR="005C1DE3">
          <w:rPr>
            <w:noProof/>
            <w:webHidden/>
          </w:rPr>
          <w:fldChar w:fldCharType="separate"/>
        </w:r>
        <w:r w:rsidR="005C1DE3">
          <w:rPr>
            <w:noProof/>
            <w:webHidden/>
          </w:rPr>
          <w:t>16</w:t>
        </w:r>
        <w:r w:rsidR="005C1DE3">
          <w:rPr>
            <w:noProof/>
            <w:webHidden/>
          </w:rPr>
          <w:fldChar w:fldCharType="end"/>
        </w:r>
      </w:hyperlink>
    </w:p>
    <w:p w14:paraId="24DCD501" w14:textId="76A1243D" w:rsidR="005C1DE3" w:rsidRDefault="00EB619D">
      <w:pPr>
        <w:pStyle w:val="TableofFigures"/>
        <w:tabs>
          <w:tab w:val="right" w:leader="dot" w:pos="9607"/>
        </w:tabs>
        <w:rPr>
          <w:rFonts w:asciiTheme="minorHAnsi" w:hAnsiTheme="minorHAnsi"/>
          <w:noProof/>
          <w:color w:val="auto"/>
          <w:kern w:val="2"/>
          <w:szCs w:val="24"/>
          <w:lang w:eastAsia="hr-HR"/>
          <w14:ligatures w14:val="standardContextual"/>
        </w:rPr>
      </w:pPr>
      <w:hyperlink w:anchor="_Toc158991960" w:history="1">
        <w:r w:rsidR="005C1DE3" w:rsidRPr="00200687">
          <w:rPr>
            <w:rStyle w:val="Hyperlink"/>
            <w:rFonts w:cs="Times New Roman"/>
            <w:noProof/>
          </w:rPr>
          <w:t>Tablica 3 – Neto rezultat poslovanja</w:t>
        </w:r>
        <w:r w:rsidR="005C1DE3">
          <w:rPr>
            <w:noProof/>
            <w:webHidden/>
          </w:rPr>
          <w:tab/>
        </w:r>
        <w:r w:rsidR="005C1DE3">
          <w:rPr>
            <w:noProof/>
            <w:webHidden/>
          </w:rPr>
          <w:fldChar w:fldCharType="begin"/>
        </w:r>
        <w:r w:rsidR="005C1DE3">
          <w:rPr>
            <w:noProof/>
            <w:webHidden/>
          </w:rPr>
          <w:instrText xml:space="preserve"> PAGEREF _Toc158991960 \h </w:instrText>
        </w:r>
        <w:r w:rsidR="005C1DE3">
          <w:rPr>
            <w:noProof/>
            <w:webHidden/>
          </w:rPr>
        </w:r>
        <w:r w:rsidR="005C1DE3">
          <w:rPr>
            <w:noProof/>
            <w:webHidden/>
          </w:rPr>
          <w:fldChar w:fldCharType="separate"/>
        </w:r>
        <w:r w:rsidR="005C1DE3">
          <w:rPr>
            <w:noProof/>
            <w:webHidden/>
          </w:rPr>
          <w:t>18</w:t>
        </w:r>
        <w:r w:rsidR="005C1DE3">
          <w:rPr>
            <w:noProof/>
            <w:webHidden/>
          </w:rPr>
          <w:fldChar w:fldCharType="end"/>
        </w:r>
      </w:hyperlink>
    </w:p>
    <w:p w14:paraId="46E44B8C" w14:textId="0BF9055B" w:rsidR="005C1DE3" w:rsidRDefault="00EB619D">
      <w:pPr>
        <w:pStyle w:val="TableofFigures"/>
        <w:tabs>
          <w:tab w:val="right" w:leader="dot" w:pos="9607"/>
        </w:tabs>
        <w:rPr>
          <w:rFonts w:asciiTheme="minorHAnsi" w:hAnsiTheme="minorHAnsi"/>
          <w:noProof/>
          <w:color w:val="auto"/>
          <w:kern w:val="2"/>
          <w:szCs w:val="24"/>
          <w:lang w:eastAsia="hr-HR"/>
          <w14:ligatures w14:val="standardContextual"/>
        </w:rPr>
      </w:pPr>
      <w:hyperlink w:anchor="_Toc158991961" w:history="1">
        <w:r w:rsidR="005C1DE3" w:rsidRPr="00200687">
          <w:rPr>
            <w:rStyle w:val="Hyperlink"/>
            <w:rFonts w:cs="Times New Roman"/>
            <w:noProof/>
          </w:rPr>
          <w:t>Tablica 4 - Pregled ostvarenja prinosa na prosječno stanje ulaganja</w:t>
        </w:r>
        <w:r w:rsidR="005C1DE3">
          <w:rPr>
            <w:noProof/>
            <w:webHidden/>
          </w:rPr>
          <w:tab/>
        </w:r>
        <w:r w:rsidR="005C1DE3">
          <w:rPr>
            <w:noProof/>
            <w:webHidden/>
          </w:rPr>
          <w:fldChar w:fldCharType="begin"/>
        </w:r>
        <w:r w:rsidR="005C1DE3">
          <w:rPr>
            <w:noProof/>
            <w:webHidden/>
          </w:rPr>
          <w:instrText xml:space="preserve"> PAGEREF _Toc158991961 \h </w:instrText>
        </w:r>
        <w:r w:rsidR="005C1DE3">
          <w:rPr>
            <w:noProof/>
            <w:webHidden/>
          </w:rPr>
        </w:r>
        <w:r w:rsidR="005C1DE3">
          <w:rPr>
            <w:noProof/>
            <w:webHidden/>
          </w:rPr>
          <w:fldChar w:fldCharType="separate"/>
        </w:r>
        <w:r w:rsidR="005C1DE3">
          <w:rPr>
            <w:noProof/>
            <w:webHidden/>
          </w:rPr>
          <w:t>18</w:t>
        </w:r>
        <w:r w:rsidR="005C1DE3">
          <w:rPr>
            <w:noProof/>
            <w:webHidden/>
          </w:rPr>
          <w:fldChar w:fldCharType="end"/>
        </w:r>
      </w:hyperlink>
    </w:p>
    <w:p w14:paraId="3F331EF0" w14:textId="317AD887" w:rsidR="005C1DE3" w:rsidRDefault="00EB619D">
      <w:pPr>
        <w:pStyle w:val="TableofFigures"/>
        <w:tabs>
          <w:tab w:val="right" w:leader="dot" w:pos="9607"/>
        </w:tabs>
        <w:rPr>
          <w:rFonts w:asciiTheme="minorHAnsi" w:hAnsiTheme="minorHAnsi"/>
          <w:noProof/>
          <w:color w:val="auto"/>
          <w:kern w:val="2"/>
          <w:szCs w:val="24"/>
          <w:lang w:eastAsia="hr-HR"/>
          <w14:ligatures w14:val="standardContextual"/>
        </w:rPr>
      </w:pPr>
      <w:hyperlink w:anchor="_Toc158991962" w:history="1">
        <w:r w:rsidR="005C1DE3" w:rsidRPr="00200687">
          <w:rPr>
            <w:rStyle w:val="Hyperlink"/>
            <w:rFonts w:cs="Times New Roman"/>
            <w:noProof/>
          </w:rPr>
          <w:t>Tablica 5 - Pregled imovine i obveza Fonda na dan 31.12.2023.</w:t>
        </w:r>
        <w:r w:rsidR="005C1DE3">
          <w:rPr>
            <w:noProof/>
            <w:webHidden/>
          </w:rPr>
          <w:tab/>
        </w:r>
        <w:r w:rsidR="005C1DE3">
          <w:rPr>
            <w:noProof/>
            <w:webHidden/>
          </w:rPr>
          <w:fldChar w:fldCharType="begin"/>
        </w:r>
        <w:r w:rsidR="005C1DE3">
          <w:rPr>
            <w:noProof/>
            <w:webHidden/>
          </w:rPr>
          <w:instrText xml:space="preserve"> PAGEREF _Toc158991962 \h </w:instrText>
        </w:r>
        <w:r w:rsidR="005C1DE3">
          <w:rPr>
            <w:noProof/>
            <w:webHidden/>
          </w:rPr>
        </w:r>
        <w:r w:rsidR="005C1DE3">
          <w:rPr>
            <w:noProof/>
            <w:webHidden/>
          </w:rPr>
          <w:fldChar w:fldCharType="separate"/>
        </w:r>
        <w:r w:rsidR="005C1DE3">
          <w:rPr>
            <w:noProof/>
            <w:webHidden/>
          </w:rPr>
          <w:t>19</w:t>
        </w:r>
        <w:r w:rsidR="005C1DE3">
          <w:rPr>
            <w:noProof/>
            <w:webHidden/>
          </w:rPr>
          <w:fldChar w:fldCharType="end"/>
        </w:r>
      </w:hyperlink>
    </w:p>
    <w:p w14:paraId="2736B84D" w14:textId="5701629C" w:rsidR="005C1DE3" w:rsidRDefault="00EB619D">
      <w:pPr>
        <w:pStyle w:val="TableofFigures"/>
        <w:tabs>
          <w:tab w:val="right" w:leader="dot" w:pos="9607"/>
        </w:tabs>
        <w:rPr>
          <w:rFonts w:asciiTheme="minorHAnsi" w:hAnsiTheme="minorHAnsi"/>
          <w:noProof/>
          <w:color w:val="auto"/>
          <w:kern w:val="2"/>
          <w:szCs w:val="24"/>
          <w:lang w:eastAsia="hr-HR"/>
          <w14:ligatures w14:val="standardContextual"/>
        </w:rPr>
      </w:pPr>
      <w:hyperlink w:anchor="_Toc158991963" w:history="1">
        <w:r w:rsidR="005C1DE3" w:rsidRPr="00200687">
          <w:rPr>
            <w:rStyle w:val="Hyperlink"/>
            <w:rFonts w:cs="Times New Roman"/>
            <w:noProof/>
          </w:rPr>
          <w:t>Tablica 6 - Pregled ulaganja u nefinancijsku imovinu tijekom 2023. godine</w:t>
        </w:r>
        <w:r w:rsidR="005C1DE3">
          <w:rPr>
            <w:noProof/>
            <w:webHidden/>
          </w:rPr>
          <w:tab/>
        </w:r>
        <w:r w:rsidR="005C1DE3">
          <w:rPr>
            <w:noProof/>
            <w:webHidden/>
          </w:rPr>
          <w:fldChar w:fldCharType="begin"/>
        </w:r>
        <w:r w:rsidR="005C1DE3">
          <w:rPr>
            <w:noProof/>
            <w:webHidden/>
          </w:rPr>
          <w:instrText xml:space="preserve"> PAGEREF _Toc158991963 \h </w:instrText>
        </w:r>
        <w:r w:rsidR="005C1DE3">
          <w:rPr>
            <w:noProof/>
            <w:webHidden/>
          </w:rPr>
        </w:r>
        <w:r w:rsidR="005C1DE3">
          <w:rPr>
            <w:noProof/>
            <w:webHidden/>
          </w:rPr>
          <w:fldChar w:fldCharType="separate"/>
        </w:r>
        <w:r w:rsidR="005C1DE3">
          <w:rPr>
            <w:noProof/>
            <w:webHidden/>
          </w:rPr>
          <w:t>20</w:t>
        </w:r>
        <w:r w:rsidR="005C1DE3">
          <w:rPr>
            <w:noProof/>
            <w:webHidden/>
          </w:rPr>
          <w:fldChar w:fldCharType="end"/>
        </w:r>
      </w:hyperlink>
    </w:p>
    <w:p w14:paraId="79493703" w14:textId="12E86953" w:rsidR="005C1DE3" w:rsidRDefault="00EB619D">
      <w:pPr>
        <w:pStyle w:val="TableofFigures"/>
        <w:tabs>
          <w:tab w:val="right" w:leader="dot" w:pos="9607"/>
        </w:tabs>
        <w:rPr>
          <w:rFonts w:asciiTheme="minorHAnsi" w:hAnsiTheme="minorHAnsi"/>
          <w:noProof/>
          <w:color w:val="auto"/>
          <w:kern w:val="2"/>
          <w:szCs w:val="24"/>
          <w:lang w:eastAsia="hr-HR"/>
          <w14:ligatures w14:val="standardContextual"/>
        </w:rPr>
      </w:pPr>
      <w:hyperlink w:anchor="_Toc158991964" w:history="1">
        <w:r w:rsidR="005C1DE3" w:rsidRPr="00200687">
          <w:rPr>
            <w:rStyle w:val="Hyperlink"/>
            <w:rFonts w:cs="Times New Roman"/>
            <w:noProof/>
          </w:rPr>
          <w:t>Tablica 7 - Pregled pozicija u dionicama</w:t>
        </w:r>
        <w:r w:rsidR="005C1DE3">
          <w:rPr>
            <w:noProof/>
            <w:webHidden/>
          </w:rPr>
          <w:tab/>
        </w:r>
        <w:r w:rsidR="005C1DE3">
          <w:rPr>
            <w:noProof/>
            <w:webHidden/>
          </w:rPr>
          <w:fldChar w:fldCharType="begin"/>
        </w:r>
        <w:r w:rsidR="005C1DE3">
          <w:rPr>
            <w:noProof/>
            <w:webHidden/>
          </w:rPr>
          <w:instrText xml:space="preserve"> PAGEREF _Toc158991964 \h </w:instrText>
        </w:r>
        <w:r w:rsidR="005C1DE3">
          <w:rPr>
            <w:noProof/>
            <w:webHidden/>
          </w:rPr>
        </w:r>
        <w:r w:rsidR="005C1DE3">
          <w:rPr>
            <w:noProof/>
            <w:webHidden/>
          </w:rPr>
          <w:fldChar w:fldCharType="separate"/>
        </w:r>
        <w:r w:rsidR="005C1DE3">
          <w:rPr>
            <w:noProof/>
            <w:webHidden/>
          </w:rPr>
          <w:t>23</w:t>
        </w:r>
        <w:r w:rsidR="005C1DE3">
          <w:rPr>
            <w:noProof/>
            <w:webHidden/>
          </w:rPr>
          <w:fldChar w:fldCharType="end"/>
        </w:r>
      </w:hyperlink>
    </w:p>
    <w:p w14:paraId="08D07484" w14:textId="41CBEF29" w:rsidR="005C1DE3" w:rsidRDefault="00EB619D">
      <w:pPr>
        <w:pStyle w:val="TableofFigures"/>
        <w:tabs>
          <w:tab w:val="right" w:leader="dot" w:pos="9607"/>
        </w:tabs>
        <w:rPr>
          <w:rFonts w:asciiTheme="minorHAnsi" w:hAnsiTheme="minorHAnsi"/>
          <w:noProof/>
          <w:color w:val="auto"/>
          <w:kern w:val="2"/>
          <w:szCs w:val="24"/>
          <w:lang w:eastAsia="hr-HR"/>
          <w14:ligatures w14:val="standardContextual"/>
        </w:rPr>
      </w:pPr>
      <w:hyperlink w:anchor="_Toc158991965" w:history="1">
        <w:r w:rsidR="005C1DE3" w:rsidRPr="00200687">
          <w:rPr>
            <w:rStyle w:val="Hyperlink"/>
            <w:rFonts w:cs="Times New Roman"/>
            <w:noProof/>
          </w:rPr>
          <w:t>Tablica 8 - Pregled pozicija u investicijskim fondovima</w:t>
        </w:r>
        <w:r w:rsidR="005C1DE3">
          <w:rPr>
            <w:noProof/>
            <w:webHidden/>
          </w:rPr>
          <w:tab/>
        </w:r>
        <w:r w:rsidR="005C1DE3">
          <w:rPr>
            <w:noProof/>
            <w:webHidden/>
          </w:rPr>
          <w:fldChar w:fldCharType="begin"/>
        </w:r>
        <w:r w:rsidR="005C1DE3">
          <w:rPr>
            <w:noProof/>
            <w:webHidden/>
          </w:rPr>
          <w:instrText xml:space="preserve"> PAGEREF _Toc158991965 \h </w:instrText>
        </w:r>
        <w:r w:rsidR="005C1DE3">
          <w:rPr>
            <w:noProof/>
            <w:webHidden/>
          </w:rPr>
        </w:r>
        <w:r w:rsidR="005C1DE3">
          <w:rPr>
            <w:noProof/>
            <w:webHidden/>
          </w:rPr>
          <w:fldChar w:fldCharType="separate"/>
        </w:r>
        <w:r w:rsidR="005C1DE3">
          <w:rPr>
            <w:noProof/>
            <w:webHidden/>
          </w:rPr>
          <w:t>24</w:t>
        </w:r>
        <w:r w:rsidR="005C1DE3">
          <w:rPr>
            <w:noProof/>
            <w:webHidden/>
          </w:rPr>
          <w:fldChar w:fldCharType="end"/>
        </w:r>
      </w:hyperlink>
    </w:p>
    <w:p w14:paraId="40129A56" w14:textId="7E557C24" w:rsidR="005C1DE3" w:rsidRDefault="00EB619D">
      <w:pPr>
        <w:pStyle w:val="TableofFigures"/>
        <w:tabs>
          <w:tab w:val="right" w:leader="dot" w:pos="9607"/>
        </w:tabs>
        <w:rPr>
          <w:rFonts w:asciiTheme="minorHAnsi" w:hAnsiTheme="minorHAnsi"/>
          <w:noProof/>
          <w:color w:val="auto"/>
          <w:kern w:val="2"/>
          <w:szCs w:val="24"/>
          <w:lang w:eastAsia="hr-HR"/>
          <w14:ligatures w14:val="standardContextual"/>
        </w:rPr>
      </w:pPr>
      <w:hyperlink w:anchor="_Toc158991966" w:history="1">
        <w:r w:rsidR="005C1DE3" w:rsidRPr="00200687">
          <w:rPr>
            <w:rStyle w:val="Hyperlink"/>
            <w:rFonts w:cs="Times New Roman"/>
            <w:noProof/>
          </w:rPr>
          <w:t>Tablica 9 - Pregled pozicija u obveznicama</w:t>
        </w:r>
        <w:r w:rsidR="005C1DE3">
          <w:rPr>
            <w:noProof/>
            <w:webHidden/>
          </w:rPr>
          <w:tab/>
        </w:r>
        <w:r w:rsidR="005C1DE3">
          <w:rPr>
            <w:noProof/>
            <w:webHidden/>
          </w:rPr>
          <w:fldChar w:fldCharType="begin"/>
        </w:r>
        <w:r w:rsidR="005C1DE3">
          <w:rPr>
            <w:noProof/>
            <w:webHidden/>
          </w:rPr>
          <w:instrText xml:space="preserve"> PAGEREF _Toc158991966 \h </w:instrText>
        </w:r>
        <w:r w:rsidR="005C1DE3">
          <w:rPr>
            <w:noProof/>
            <w:webHidden/>
          </w:rPr>
        </w:r>
        <w:r w:rsidR="005C1DE3">
          <w:rPr>
            <w:noProof/>
            <w:webHidden/>
          </w:rPr>
          <w:fldChar w:fldCharType="separate"/>
        </w:r>
        <w:r w:rsidR="005C1DE3">
          <w:rPr>
            <w:noProof/>
            <w:webHidden/>
          </w:rPr>
          <w:t>25</w:t>
        </w:r>
        <w:r w:rsidR="005C1DE3">
          <w:rPr>
            <w:noProof/>
            <w:webHidden/>
          </w:rPr>
          <w:fldChar w:fldCharType="end"/>
        </w:r>
      </w:hyperlink>
    </w:p>
    <w:p w14:paraId="06BD16DF" w14:textId="24B7996E" w:rsidR="006F0831" w:rsidRPr="00C07BE5" w:rsidRDefault="00283463" w:rsidP="0045103A">
      <w:pPr>
        <w:pStyle w:val="TableofFigures"/>
        <w:tabs>
          <w:tab w:val="right" w:leader="dot" w:pos="9607"/>
        </w:tabs>
        <w:rPr>
          <w:rFonts w:cs="Times New Roman"/>
          <w:szCs w:val="24"/>
        </w:rPr>
      </w:pPr>
      <w:r w:rsidRPr="00C07BE5">
        <w:rPr>
          <w:rStyle w:val="Hyperlink"/>
          <w:rFonts w:cs="Times New Roman"/>
          <w:noProof/>
          <w:szCs w:val="24"/>
        </w:rPr>
        <w:fldChar w:fldCharType="end"/>
      </w:r>
      <w:r w:rsidR="0028051C" w:rsidRPr="00C07BE5">
        <w:rPr>
          <w:rStyle w:val="Hyperlink"/>
          <w:rFonts w:cs="Times New Roman"/>
          <w:noProof/>
          <w:szCs w:val="24"/>
        </w:rPr>
        <w:t xml:space="preserve"> </w:t>
      </w:r>
    </w:p>
    <w:p w14:paraId="40280778" w14:textId="77777777" w:rsidR="00423CDD" w:rsidRPr="00C07BE5" w:rsidRDefault="00423CDD" w:rsidP="00D825C1">
      <w:pPr>
        <w:pStyle w:val="NASLOV01"/>
      </w:pPr>
    </w:p>
    <w:p w14:paraId="1B3B9C6C" w14:textId="77777777" w:rsidR="004812D3" w:rsidRPr="00C07BE5" w:rsidRDefault="004812D3" w:rsidP="004812D3"/>
    <w:sectPr w:rsidR="004812D3" w:rsidRPr="00C07BE5" w:rsidSect="00283463">
      <w:headerReference w:type="default" r:id="rId22"/>
      <w:footerReference w:type="default" r:id="rId23"/>
      <w:headerReference w:type="first" r:id="rId24"/>
      <w:pgSz w:w="11906" w:h="16838"/>
      <w:pgMar w:top="1440" w:right="849" w:bottom="1440" w:left="1440" w:header="708"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452CA" w14:textId="77777777" w:rsidR="00E86D1F" w:rsidRPr="00C07BE5" w:rsidRDefault="00E86D1F" w:rsidP="00F54F1F">
      <w:pPr>
        <w:spacing w:after="0" w:line="240" w:lineRule="auto"/>
      </w:pPr>
      <w:r w:rsidRPr="00C07BE5">
        <w:separator/>
      </w:r>
    </w:p>
  </w:endnote>
  <w:endnote w:type="continuationSeparator" w:id="0">
    <w:p w14:paraId="023C81E6" w14:textId="77777777" w:rsidR="00E86D1F" w:rsidRPr="00C07BE5" w:rsidRDefault="00E86D1F" w:rsidP="00F54F1F">
      <w:pPr>
        <w:spacing w:after="0" w:line="240" w:lineRule="auto"/>
      </w:pPr>
      <w:r w:rsidRPr="00C07B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panose1 w:val="00000400000000000000"/>
    <w:charset w:val="4D"/>
    <w:family w:val="auto"/>
    <w:pitch w:val="variable"/>
    <w:sig w:usb0="2000020F" w:usb1="00000003" w:usb2="00000000" w:usb3="00000000" w:csb0="00000197" w:csb1="00000000"/>
  </w:font>
  <w:font w:name="Montserrat Regular">
    <w:altName w:val="Montserrat"/>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
      <w:tblW w:w="9639" w:type="dxa"/>
      <w:tblBorders>
        <w:top w:val="single" w:sz="4" w:space="0" w:color="646668"/>
        <w:bottom w:val="none" w:sz="0" w:space="0" w:color="auto"/>
      </w:tblBorders>
      <w:tblCellMar>
        <w:top w:w="198" w:type="dxa"/>
        <w:left w:w="0" w:type="dxa"/>
        <w:right w:w="0" w:type="dxa"/>
      </w:tblCellMar>
      <w:tblLook w:val="04A0" w:firstRow="1" w:lastRow="0" w:firstColumn="1" w:lastColumn="0" w:noHBand="0" w:noVBand="1"/>
    </w:tblPr>
    <w:tblGrid>
      <w:gridCol w:w="8081"/>
      <w:gridCol w:w="1558"/>
    </w:tblGrid>
    <w:tr w:rsidR="00F54F1F" w:rsidRPr="00C07BE5" w14:paraId="1BA587C1" w14:textId="77777777" w:rsidTr="00F54F1F">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right w:val="none" w:sz="0" w:space="0" w:color="auto"/>
          </w:tcBorders>
          <w:vAlign w:val="center"/>
        </w:tcPr>
        <w:p w14:paraId="552204D7" w14:textId="7FB06BC3" w:rsidR="00F54F1F" w:rsidRPr="00C07BE5" w:rsidRDefault="008A37FA" w:rsidP="00A97CFB">
          <w:pPr>
            <w:pStyle w:val="Malinaslovopisa"/>
            <w:spacing w:line="240" w:lineRule="auto"/>
            <w:ind w:right="0"/>
            <w:jc w:val="center"/>
            <w:rPr>
              <w:rFonts w:ascii="Montserrat Light" w:hAnsi="Montserrat Light"/>
              <w:caps/>
              <w:spacing w:val="30"/>
              <w:sz w:val="18"/>
              <w:szCs w:val="18"/>
              <w:lang w:val="hr-HR"/>
            </w:rPr>
          </w:pPr>
          <w:r w:rsidRPr="00C07BE5">
            <w:rPr>
              <w:rFonts w:ascii="Montserrat Light" w:hAnsi="Montserrat Light"/>
              <w:caps/>
              <w:spacing w:val="30"/>
              <w:sz w:val="18"/>
              <w:szCs w:val="18"/>
              <w:lang w:val="hr-HR"/>
            </w:rPr>
            <w:t>IZVJEŠĆE O OSTVARIVANJU PROGRAMA RADA I FINANCIJSKO IZVJEŠĆE ZA 202</w:t>
          </w:r>
          <w:r w:rsidR="0045103A" w:rsidRPr="00C07BE5">
            <w:rPr>
              <w:rFonts w:ascii="Montserrat Light" w:hAnsi="Montserrat Light"/>
              <w:caps/>
              <w:spacing w:val="30"/>
              <w:sz w:val="18"/>
              <w:szCs w:val="18"/>
              <w:lang w:val="hr-HR"/>
            </w:rPr>
            <w:t>3</w:t>
          </w:r>
          <w:r w:rsidRPr="00C07BE5">
            <w:rPr>
              <w:rFonts w:ascii="Montserrat Light" w:hAnsi="Montserrat Light"/>
              <w:caps/>
              <w:spacing w:val="30"/>
              <w:sz w:val="18"/>
              <w:szCs w:val="18"/>
              <w:lang w:val="hr-HR"/>
            </w:rPr>
            <w:t>. GODINU</w:t>
          </w:r>
        </w:p>
      </w:tc>
      <w:tc>
        <w:tcPr>
          <w:tcW w:w="1531" w:type="dxa"/>
          <w:tcBorders>
            <w:top w:val="none" w:sz="0" w:space="0" w:color="auto"/>
            <w:left w:val="none" w:sz="0" w:space="0" w:color="auto"/>
            <w:bottom w:val="none" w:sz="0" w:space="0" w:color="auto"/>
            <w:right w:val="none" w:sz="0" w:space="0" w:color="auto"/>
          </w:tcBorders>
          <w:vAlign w:val="center"/>
        </w:tcPr>
        <w:p w14:paraId="15208546" w14:textId="77777777" w:rsidR="00F54F1F" w:rsidRPr="00C07BE5" w:rsidRDefault="00F54F1F" w:rsidP="00F54F1F">
          <w:pPr>
            <w:pStyle w:val="Malinaslovopisa"/>
            <w:spacing w:line="240" w:lineRule="auto"/>
            <w:ind w:right="0"/>
            <w:jc w:val="right"/>
            <w:cnfStyle w:val="100000000000" w:firstRow="1" w:lastRow="0" w:firstColumn="0" w:lastColumn="0" w:oddVBand="0" w:evenVBand="0" w:oddHBand="0" w:evenHBand="0" w:firstRowFirstColumn="0" w:firstRowLastColumn="0" w:lastRowFirstColumn="0" w:lastRowLastColumn="0"/>
            <w:rPr>
              <w:rFonts w:ascii="Montserrat Light" w:hAnsi="Montserrat Light"/>
              <w:caps/>
              <w:spacing w:val="30"/>
              <w:sz w:val="18"/>
              <w:szCs w:val="18"/>
              <w:lang w:val="hr-HR"/>
            </w:rPr>
          </w:pPr>
          <w:r w:rsidRPr="00C07BE5">
            <w:rPr>
              <w:rStyle w:val="PageNumber"/>
            </w:rPr>
            <w:fldChar w:fldCharType="begin"/>
          </w:r>
          <w:r w:rsidRPr="00C07BE5">
            <w:rPr>
              <w:rStyle w:val="PageNumber"/>
              <w:lang w:val="hr-HR"/>
            </w:rPr>
            <w:instrText xml:space="preserve">PAGE  </w:instrText>
          </w:r>
          <w:r w:rsidRPr="00C07BE5">
            <w:rPr>
              <w:rStyle w:val="PageNumber"/>
            </w:rPr>
            <w:fldChar w:fldCharType="separate"/>
          </w:r>
          <w:r w:rsidRPr="00C07BE5">
            <w:rPr>
              <w:rStyle w:val="PageNumber"/>
              <w:lang w:val="hr-HR"/>
            </w:rPr>
            <w:t>2</w:t>
          </w:r>
          <w:r w:rsidRPr="00C07BE5">
            <w:rPr>
              <w:rStyle w:val="PageNumber"/>
            </w:rPr>
            <w:fldChar w:fldCharType="end"/>
          </w:r>
        </w:p>
      </w:tc>
    </w:tr>
  </w:tbl>
  <w:p w14:paraId="3C09AD2C" w14:textId="77777777" w:rsidR="00F54F1F" w:rsidRPr="00C07BE5" w:rsidRDefault="00F5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BB9B" w14:textId="77777777" w:rsidR="00E86D1F" w:rsidRPr="00C07BE5" w:rsidRDefault="00E86D1F" w:rsidP="00F54F1F">
      <w:pPr>
        <w:spacing w:after="0" w:line="240" w:lineRule="auto"/>
      </w:pPr>
      <w:r w:rsidRPr="00C07BE5">
        <w:separator/>
      </w:r>
    </w:p>
  </w:footnote>
  <w:footnote w:type="continuationSeparator" w:id="0">
    <w:p w14:paraId="1D84B458" w14:textId="77777777" w:rsidR="00E86D1F" w:rsidRPr="00C07BE5" w:rsidRDefault="00E86D1F" w:rsidP="00F54F1F">
      <w:pPr>
        <w:spacing w:after="0" w:line="240" w:lineRule="auto"/>
      </w:pPr>
      <w:r w:rsidRPr="00C07B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
      <w:tblW w:w="9639" w:type="dxa"/>
      <w:tblBorders>
        <w:top w:val="none" w:sz="0" w:space="0" w:color="auto"/>
        <w:bottom w:val="single" w:sz="4" w:space="0" w:color="000000" w:themeColor="text1"/>
      </w:tblBorders>
      <w:tblCellMar>
        <w:left w:w="0" w:type="dxa"/>
        <w:bottom w:w="198" w:type="dxa"/>
        <w:right w:w="0" w:type="dxa"/>
      </w:tblCellMar>
      <w:tblLook w:val="04A0" w:firstRow="1" w:lastRow="0" w:firstColumn="1" w:lastColumn="0" w:noHBand="0" w:noVBand="1"/>
    </w:tblPr>
    <w:tblGrid>
      <w:gridCol w:w="1385"/>
      <w:gridCol w:w="8254"/>
    </w:tblGrid>
    <w:tr w:rsidR="00F54F1F" w:rsidRPr="00C07BE5" w14:paraId="578EFBFD" w14:textId="77777777" w:rsidTr="00F54F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vAlign w:val="center"/>
        </w:tcPr>
        <w:p w14:paraId="471B7C80" w14:textId="77777777" w:rsidR="00F54F1F" w:rsidRPr="00C07BE5" w:rsidRDefault="00F54F1F" w:rsidP="00F54F1F">
          <w:pPr>
            <w:pStyle w:val="Header"/>
            <w:rPr>
              <w:lang w:val="hr-HR"/>
            </w:rPr>
          </w:pPr>
          <w:bookmarkStart w:id="134" w:name="_Hlk75951884"/>
          <w:r w:rsidRPr="00C07BE5">
            <w:rPr>
              <w:noProof/>
            </w:rPr>
            <w:drawing>
              <wp:inline distT="0" distB="0" distL="0" distR="0" wp14:anchorId="2365EC75" wp14:editId="182D0C4A">
                <wp:extent cx="569253" cy="569253"/>
                <wp:effectExtent l="0" t="0" r="0" b="0"/>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9453" cy="569453"/>
                        </a:xfrm>
                        <a:prstGeom prst="rect">
                          <a:avLst/>
                        </a:prstGeom>
                      </pic:spPr>
                    </pic:pic>
                  </a:graphicData>
                </a:graphic>
              </wp:inline>
            </w:drawing>
          </w:r>
        </w:p>
      </w:tc>
      <w:tc>
        <w:tcPr>
          <w:tcW w:w="8108" w:type="dxa"/>
          <w:tcBorders>
            <w:top w:val="none" w:sz="0" w:space="0" w:color="auto"/>
            <w:left w:val="none" w:sz="0" w:space="0" w:color="auto"/>
            <w:bottom w:val="none" w:sz="0" w:space="0" w:color="auto"/>
            <w:right w:val="none" w:sz="0" w:space="0" w:color="auto"/>
          </w:tcBorders>
          <w:vAlign w:val="center"/>
        </w:tcPr>
        <w:p w14:paraId="048403B5" w14:textId="77777777" w:rsidR="00F54F1F" w:rsidRPr="00C07BE5" w:rsidRDefault="00F54F1F" w:rsidP="00F54F1F">
          <w:pPr>
            <w:pStyle w:val="Malinaslovopisa"/>
            <w:ind w:right="0"/>
            <w:cnfStyle w:val="100000000000" w:firstRow="1" w:lastRow="0" w:firstColumn="0" w:lastColumn="0" w:oddVBand="0" w:evenVBand="0" w:oddHBand="0" w:evenHBand="0" w:firstRowFirstColumn="0" w:firstRowLastColumn="0" w:lastRowFirstColumn="0" w:lastRowLastColumn="0"/>
            <w:rPr>
              <w:rFonts w:ascii="Montserrat Light" w:hAnsi="Montserrat Light"/>
              <w:caps/>
              <w:spacing w:val="30"/>
              <w:sz w:val="18"/>
              <w:szCs w:val="18"/>
              <w:lang w:val="hr-HR"/>
            </w:rPr>
          </w:pPr>
          <w:r w:rsidRPr="00C07BE5">
            <w:rPr>
              <w:rStyle w:val="SubtleEmphasis"/>
              <w:lang w:val="hr-HR"/>
            </w:rPr>
            <w:t>FOND ZA FINANCIRANJE RAZGRADNJE NEK</w:t>
          </w:r>
        </w:p>
      </w:tc>
    </w:tr>
    <w:bookmarkEnd w:id="134"/>
  </w:tbl>
  <w:p w14:paraId="33A34D0B" w14:textId="77777777" w:rsidR="00F54F1F" w:rsidRPr="00C07BE5" w:rsidRDefault="00F54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B97E" w14:textId="77777777" w:rsidR="00F54F1F" w:rsidRPr="00C07BE5" w:rsidRDefault="00F54F1F" w:rsidP="00F54F1F">
    <w:pPr>
      <w:pStyle w:val="Malinaslovopisa"/>
      <w:ind w:right="0"/>
      <w:rPr>
        <w:rStyle w:val="BookTitle"/>
        <w:b/>
        <w:bCs/>
        <w:spacing w:val="30"/>
        <w:sz w:val="18"/>
        <w:szCs w:val="18"/>
      </w:rPr>
    </w:pPr>
    <w:bookmarkStart w:id="135" w:name="_Hlk75951824"/>
    <w:bookmarkStart w:id="136" w:name="_Hlk75951825"/>
    <w:r w:rsidRPr="00C07BE5">
      <w:rPr>
        <w:rStyle w:val="SubtleEmphasis"/>
        <w:b/>
        <w:bCs/>
      </w:rPr>
      <w:t>FOND ZA FINANCIRANJE RAZGRADNJE NEK</w:t>
    </w:r>
    <w:bookmarkEnd w:id="135"/>
    <w:bookmarkEnd w:id="136"/>
  </w:p>
  <w:p w14:paraId="698C8976" w14:textId="77777777" w:rsidR="00F54F1F" w:rsidRPr="00C07BE5" w:rsidRDefault="00F54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089"/>
    <w:multiLevelType w:val="hybridMultilevel"/>
    <w:tmpl w:val="90D0F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8770E9"/>
    <w:multiLevelType w:val="hybridMultilevel"/>
    <w:tmpl w:val="B00E79BA"/>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 w15:restartNumberingAfterBreak="0">
    <w:nsid w:val="0BFF6F38"/>
    <w:multiLevelType w:val="hybridMultilevel"/>
    <w:tmpl w:val="1B8C2418"/>
    <w:lvl w:ilvl="0" w:tplc="4330FCAC">
      <w:start w:val="1"/>
      <w:numFmt w:val="decimal"/>
      <w:lvlText w:val="1.%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34667"/>
    <w:multiLevelType w:val="hybridMultilevel"/>
    <w:tmpl w:val="588A124C"/>
    <w:lvl w:ilvl="0" w:tplc="4DD2C64C">
      <w:start w:val="1"/>
      <w:numFmt w:val="decimal"/>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4" w15:restartNumberingAfterBreak="0">
    <w:nsid w:val="0F211887"/>
    <w:multiLevelType w:val="hybridMultilevel"/>
    <w:tmpl w:val="C9D47B78"/>
    <w:lvl w:ilvl="0" w:tplc="1EA027D8">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5" w15:restartNumberingAfterBreak="0">
    <w:nsid w:val="13042BDC"/>
    <w:multiLevelType w:val="multilevel"/>
    <w:tmpl w:val="2730D97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6" w15:restartNumberingAfterBreak="0">
    <w:nsid w:val="13F96313"/>
    <w:multiLevelType w:val="hybridMultilevel"/>
    <w:tmpl w:val="9E5E2B64"/>
    <w:lvl w:ilvl="0" w:tplc="041A0005">
      <w:start w:val="1"/>
      <w:numFmt w:val="bullet"/>
      <w:lvlText w:val=""/>
      <w:lvlJc w:val="left"/>
      <w:pPr>
        <w:ind w:left="1152" w:hanging="360"/>
      </w:pPr>
      <w:rPr>
        <w:rFonts w:ascii="Wingdings" w:hAnsi="Wingdings" w:hint="default"/>
      </w:rPr>
    </w:lvl>
    <w:lvl w:ilvl="1" w:tplc="99328B1A">
      <w:numFmt w:val="bullet"/>
      <w:lvlText w:val="−"/>
      <w:lvlJc w:val="left"/>
      <w:pPr>
        <w:ind w:left="1872" w:hanging="360"/>
      </w:pPr>
      <w:rPr>
        <w:rFonts w:ascii="Times New Roman" w:eastAsiaTheme="minorEastAsia" w:hAnsi="Times New Roman" w:cs="Times New Roman" w:hint="default"/>
      </w:rPr>
    </w:lvl>
    <w:lvl w:ilvl="2" w:tplc="041A0005" w:tentative="1">
      <w:start w:val="1"/>
      <w:numFmt w:val="bullet"/>
      <w:lvlText w:val=""/>
      <w:lvlJc w:val="left"/>
      <w:pPr>
        <w:ind w:left="2592" w:hanging="360"/>
      </w:pPr>
      <w:rPr>
        <w:rFonts w:ascii="Wingdings" w:hAnsi="Wingdings" w:hint="default"/>
      </w:rPr>
    </w:lvl>
    <w:lvl w:ilvl="3" w:tplc="041A0001" w:tentative="1">
      <w:start w:val="1"/>
      <w:numFmt w:val="bullet"/>
      <w:lvlText w:val=""/>
      <w:lvlJc w:val="left"/>
      <w:pPr>
        <w:ind w:left="3312" w:hanging="360"/>
      </w:pPr>
      <w:rPr>
        <w:rFonts w:ascii="Symbol" w:hAnsi="Symbol" w:hint="default"/>
      </w:rPr>
    </w:lvl>
    <w:lvl w:ilvl="4" w:tplc="041A0003" w:tentative="1">
      <w:start w:val="1"/>
      <w:numFmt w:val="bullet"/>
      <w:lvlText w:val="o"/>
      <w:lvlJc w:val="left"/>
      <w:pPr>
        <w:ind w:left="4032" w:hanging="360"/>
      </w:pPr>
      <w:rPr>
        <w:rFonts w:ascii="Courier New" w:hAnsi="Courier New" w:cs="Courier New" w:hint="default"/>
      </w:rPr>
    </w:lvl>
    <w:lvl w:ilvl="5" w:tplc="041A0005" w:tentative="1">
      <w:start w:val="1"/>
      <w:numFmt w:val="bullet"/>
      <w:lvlText w:val=""/>
      <w:lvlJc w:val="left"/>
      <w:pPr>
        <w:ind w:left="4752" w:hanging="360"/>
      </w:pPr>
      <w:rPr>
        <w:rFonts w:ascii="Wingdings" w:hAnsi="Wingdings" w:hint="default"/>
      </w:rPr>
    </w:lvl>
    <w:lvl w:ilvl="6" w:tplc="041A0001" w:tentative="1">
      <w:start w:val="1"/>
      <w:numFmt w:val="bullet"/>
      <w:lvlText w:val=""/>
      <w:lvlJc w:val="left"/>
      <w:pPr>
        <w:ind w:left="5472" w:hanging="360"/>
      </w:pPr>
      <w:rPr>
        <w:rFonts w:ascii="Symbol" w:hAnsi="Symbol" w:hint="default"/>
      </w:rPr>
    </w:lvl>
    <w:lvl w:ilvl="7" w:tplc="041A0003" w:tentative="1">
      <w:start w:val="1"/>
      <w:numFmt w:val="bullet"/>
      <w:lvlText w:val="o"/>
      <w:lvlJc w:val="left"/>
      <w:pPr>
        <w:ind w:left="6192" w:hanging="360"/>
      </w:pPr>
      <w:rPr>
        <w:rFonts w:ascii="Courier New" w:hAnsi="Courier New" w:cs="Courier New" w:hint="default"/>
      </w:rPr>
    </w:lvl>
    <w:lvl w:ilvl="8" w:tplc="041A0005" w:tentative="1">
      <w:start w:val="1"/>
      <w:numFmt w:val="bullet"/>
      <w:lvlText w:val=""/>
      <w:lvlJc w:val="left"/>
      <w:pPr>
        <w:ind w:left="6912" w:hanging="360"/>
      </w:pPr>
      <w:rPr>
        <w:rFonts w:ascii="Wingdings" w:hAnsi="Wingdings" w:hint="default"/>
      </w:rPr>
    </w:lvl>
  </w:abstractNum>
  <w:abstractNum w:abstractNumId="7" w15:restartNumberingAfterBreak="0">
    <w:nsid w:val="165C6D19"/>
    <w:multiLevelType w:val="hybridMultilevel"/>
    <w:tmpl w:val="6066880E"/>
    <w:lvl w:ilvl="0" w:tplc="79AE8704">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8" w15:restartNumberingAfterBreak="0">
    <w:nsid w:val="1EC23848"/>
    <w:multiLevelType w:val="hybridMultilevel"/>
    <w:tmpl w:val="C8945F74"/>
    <w:lvl w:ilvl="0" w:tplc="041A0001">
      <w:start w:val="1"/>
      <w:numFmt w:val="bullet"/>
      <w:lvlText w:val=""/>
      <w:lvlJc w:val="left"/>
      <w:pPr>
        <w:ind w:left="1457" w:hanging="360"/>
      </w:pPr>
      <w:rPr>
        <w:rFonts w:ascii="Symbol" w:hAnsi="Symbol" w:hint="default"/>
      </w:rPr>
    </w:lvl>
    <w:lvl w:ilvl="1" w:tplc="041A0003" w:tentative="1">
      <w:start w:val="1"/>
      <w:numFmt w:val="bullet"/>
      <w:lvlText w:val="o"/>
      <w:lvlJc w:val="left"/>
      <w:pPr>
        <w:ind w:left="2177" w:hanging="360"/>
      </w:pPr>
      <w:rPr>
        <w:rFonts w:ascii="Courier New" w:hAnsi="Courier New" w:cs="Courier New" w:hint="default"/>
      </w:rPr>
    </w:lvl>
    <w:lvl w:ilvl="2" w:tplc="041A0005" w:tentative="1">
      <w:start w:val="1"/>
      <w:numFmt w:val="bullet"/>
      <w:lvlText w:val=""/>
      <w:lvlJc w:val="left"/>
      <w:pPr>
        <w:ind w:left="2897" w:hanging="360"/>
      </w:pPr>
      <w:rPr>
        <w:rFonts w:ascii="Wingdings" w:hAnsi="Wingdings" w:hint="default"/>
      </w:rPr>
    </w:lvl>
    <w:lvl w:ilvl="3" w:tplc="041A0001" w:tentative="1">
      <w:start w:val="1"/>
      <w:numFmt w:val="bullet"/>
      <w:lvlText w:val=""/>
      <w:lvlJc w:val="left"/>
      <w:pPr>
        <w:ind w:left="3617" w:hanging="360"/>
      </w:pPr>
      <w:rPr>
        <w:rFonts w:ascii="Symbol" w:hAnsi="Symbol" w:hint="default"/>
      </w:rPr>
    </w:lvl>
    <w:lvl w:ilvl="4" w:tplc="041A0003" w:tentative="1">
      <w:start w:val="1"/>
      <w:numFmt w:val="bullet"/>
      <w:lvlText w:val="o"/>
      <w:lvlJc w:val="left"/>
      <w:pPr>
        <w:ind w:left="4337" w:hanging="360"/>
      </w:pPr>
      <w:rPr>
        <w:rFonts w:ascii="Courier New" w:hAnsi="Courier New" w:cs="Courier New" w:hint="default"/>
      </w:rPr>
    </w:lvl>
    <w:lvl w:ilvl="5" w:tplc="041A0005" w:tentative="1">
      <w:start w:val="1"/>
      <w:numFmt w:val="bullet"/>
      <w:lvlText w:val=""/>
      <w:lvlJc w:val="left"/>
      <w:pPr>
        <w:ind w:left="5057" w:hanging="360"/>
      </w:pPr>
      <w:rPr>
        <w:rFonts w:ascii="Wingdings" w:hAnsi="Wingdings" w:hint="default"/>
      </w:rPr>
    </w:lvl>
    <w:lvl w:ilvl="6" w:tplc="041A0001" w:tentative="1">
      <w:start w:val="1"/>
      <w:numFmt w:val="bullet"/>
      <w:lvlText w:val=""/>
      <w:lvlJc w:val="left"/>
      <w:pPr>
        <w:ind w:left="5777" w:hanging="360"/>
      </w:pPr>
      <w:rPr>
        <w:rFonts w:ascii="Symbol" w:hAnsi="Symbol" w:hint="default"/>
      </w:rPr>
    </w:lvl>
    <w:lvl w:ilvl="7" w:tplc="041A0003" w:tentative="1">
      <w:start w:val="1"/>
      <w:numFmt w:val="bullet"/>
      <w:lvlText w:val="o"/>
      <w:lvlJc w:val="left"/>
      <w:pPr>
        <w:ind w:left="6497" w:hanging="360"/>
      </w:pPr>
      <w:rPr>
        <w:rFonts w:ascii="Courier New" w:hAnsi="Courier New" w:cs="Courier New" w:hint="default"/>
      </w:rPr>
    </w:lvl>
    <w:lvl w:ilvl="8" w:tplc="041A0005" w:tentative="1">
      <w:start w:val="1"/>
      <w:numFmt w:val="bullet"/>
      <w:lvlText w:val=""/>
      <w:lvlJc w:val="left"/>
      <w:pPr>
        <w:ind w:left="7217" w:hanging="360"/>
      </w:pPr>
      <w:rPr>
        <w:rFonts w:ascii="Wingdings" w:hAnsi="Wingdings" w:hint="default"/>
      </w:rPr>
    </w:lvl>
  </w:abstractNum>
  <w:abstractNum w:abstractNumId="9" w15:restartNumberingAfterBreak="0">
    <w:nsid w:val="1EFB4540"/>
    <w:multiLevelType w:val="hybridMultilevel"/>
    <w:tmpl w:val="BBC28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02220F"/>
    <w:multiLevelType w:val="hybridMultilevel"/>
    <w:tmpl w:val="82C4F87A"/>
    <w:lvl w:ilvl="0" w:tplc="041A0001">
      <w:start w:val="1"/>
      <w:numFmt w:val="bullet"/>
      <w:lvlText w:val=""/>
      <w:lvlJc w:val="left"/>
      <w:pPr>
        <w:ind w:left="1800" w:hanging="360"/>
      </w:pPr>
      <w:rPr>
        <w:rFonts w:ascii="Symbol" w:hAnsi="Symbol" w:hint="default"/>
      </w:rPr>
    </w:lvl>
    <w:lvl w:ilvl="1" w:tplc="041A0003">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1" w15:restartNumberingAfterBreak="0">
    <w:nsid w:val="23856743"/>
    <w:multiLevelType w:val="hybridMultilevel"/>
    <w:tmpl w:val="7AD484E0"/>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12" w15:restartNumberingAfterBreak="0">
    <w:nsid w:val="2A1A6DFF"/>
    <w:multiLevelType w:val="hybridMultilevel"/>
    <w:tmpl w:val="1540A11E"/>
    <w:lvl w:ilvl="0" w:tplc="943081BC">
      <w:numFmt w:val="bullet"/>
      <w:lvlText w:val="-"/>
      <w:lvlJc w:val="left"/>
      <w:pPr>
        <w:ind w:left="720" w:hanging="360"/>
      </w:pPr>
      <w:rPr>
        <w:rFonts w:ascii="Montserrat" w:eastAsiaTheme="minorEastAsia" w:hAnsi="Montserrat"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3A2D31"/>
    <w:multiLevelType w:val="hybridMultilevel"/>
    <w:tmpl w:val="35045C50"/>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419E18AD"/>
    <w:multiLevelType w:val="multilevel"/>
    <w:tmpl w:val="F48060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AC2691"/>
    <w:multiLevelType w:val="hybridMultilevel"/>
    <w:tmpl w:val="809080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7303C5"/>
    <w:multiLevelType w:val="multilevel"/>
    <w:tmpl w:val="6812D5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E0D6DFD"/>
    <w:multiLevelType w:val="hybridMultilevel"/>
    <w:tmpl w:val="0F0829DE"/>
    <w:lvl w:ilvl="0" w:tplc="21843EDA">
      <w:start w:val="1"/>
      <w:numFmt w:val="decimal"/>
      <w:lvlText w:val="1.1.%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8" w15:restartNumberingAfterBreak="0">
    <w:nsid w:val="60670AE3"/>
    <w:multiLevelType w:val="hybridMultilevel"/>
    <w:tmpl w:val="76062AA0"/>
    <w:lvl w:ilvl="0" w:tplc="808E50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2EB2F14"/>
    <w:multiLevelType w:val="hybridMultilevel"/>
    <w:tmpl w:val="8A881B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3EF10F2"/>
    <w:multiLevelType w:val="hybridMultilevel"/>
    <w:tmpl w:val="40EC224A"/>
    <w:lvl w:ilvl="0" w:tplc="041A0001">
      <w:start w:val="1"/>
      <w:numFmt w:val="bullet"/>
      <w:lvlText w:val=""/>
      <w:lvlJc w:val="left"/>
      <w:pPr>
        <w:ind w:left="1434" w:hanging="360"/>
      </w:pPr>
      <w:rPr>
        <w:rFonts w:ascii="Symbol" w:hAnsi="Symbol" w:hint="default"/>
      </w:rPr>
    </w:lvl>
    <w:lvl w:ilvl="1" w:tplc="041A0003">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21" w15:restartNumberingAfterBreak="0">
    <w:nsid w:val="6BF90DC6"/>
    <w:multiLevelType w:val="hybridMultilevel"/>
    <w:tmpl w:val="547A3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2305E6A"/>
    <w:multiLevelType w:val="hybridMultilevel"/>
    <w:tmpl w:val="C4A47E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6B1A05"/>
    <w:multiLevelType w:val="hybridMultilevel"/>
    <w:tmpl w:val="B0FE839C"/>
    <w:lvl w:ilvl="0" w:tplc="041A0005">
      <w:start w:val="1"/>
      <w:numFmt w:val="bullet"/>
      <w:lvlText w:val=""/>
      <w:lvlJc w:val="left"/>
      <w:pPr>
        <w:ind w:left="1152" w:hanging="360"/>
      </w:pPr>
      <w:rPr>
        <w:rFonts w:ascii="Wingdings" w:hAnsi="Wingdings" w:hint="default"/>
      </w:rPr>
    </w:lvl>
    <w:lvl w:ilvl="1" w:tplc="041A0003" w:tentative="1">
      <w:start w:val="1"/>
      <w:numFmt w:val="bullet"/>
      <w:lvlText w:val="o"/>
      <w:lvlJc w:val="left"/>
      <w:pPr>
        <w:ind w:left="1872" w:hanging="360"/>
      </w:pPr>
      <w:rPr>
        <w:rFonts w:ascii="Courier New" w:hAnsi="Courier New" w:cs="Courier New" w:hint="default"/>
      </w:rPr>
    </w:lvl>
    <w:lvl w:ilvl="2" w:tplc="041A0005" w:tentative="1">
      <w:start w:val="1"/>
      <w:numFmt w:val="bullet"/>
      <w:lvlText w:val=""/>
      <w:lvlJc w:val="left"/>
      <w:pPr>
        <w:ind w:left="2592" w:hanging="360"/>
      </w:pPr>
      <w:rPr>
        <w:rFonts w:ascii="Wingdings" w:hAnsi="Wingdings" w:hint="default"/>
      </w:rPr>
    </w:lvl>
    <w:lvl w:ilvl="3" w:tplc="041A0001" w:tentative="1">
      <w:start w:val="1"/>
      <w:numFmt w:val="bullet"/>
      <w:lvlText w:val=""/>
      <w:lvlJc w:val="left"/>
      <w:pPr>
        <w:ind w:left="3312" w:hanging="360"/>
      </w:pPr>
      <w:rPr>
        <w:rFonts w:ascii="Symbol" w:hAnsi="Symbol" w:hint="default"/>
      </w:rPr>
    </w:lvl>
    <w:lvl w:ilvl="4" w:tplc="041A0003" w:tentative="1">
      <w:start w:val="1"/>
      <w:numFmt w:val="bullet"/>
      <w:lvlText w:val="o"/>
      <w:lvlJc w:val="left"/>
      <w:pPr>
        <w:ind w:left="4032" w:hanging="360"/>
      </w:pPr>
      <w:rPr>
        <w:rFonts w:ascii="Courier New" w:hAnsi="Courier New" w:cs="Courier New" w:hint="default"/>
      </w:rPr>
    </w:lvl>
    <w:lvl w:ilvl="5" w:tplc="041A0005" w:tentative="1">
      <w:start w:val="1"/>
      <w:numFmt w:val="bullet"/>
      <w:lvlText w:val=""/>
      <w:lvlJc w:val="left"/>
      <w:pPr>
        <w:ind w:left="4752" w:hanging="360"/>
      </w:pPr>
      <w:rPr>
        <w:rFonts w:ascii="Wingdings" w:hAnsi="Wingdings" w:hint="default"/>
      </w:rPr>
    </w:lvl>
    <w:lvl w:ilvl="6" w:tplc="041A0001" w:tentative="1">
      <w:start w:val="1"/>
      <w:numFmt w:val="bullet"/>
      <w:lvlText w:val=""/>
      <w:lvlJc w:val="left"/>
      <w:pPr>
        <w:ind w:left="5472" w:hanging="360"/>
      </w:pPr>
      <w:rPr>
        <w:rFonts w:ascii="Symbol" w:hAnsi="Symbol" w:hint="default"/>
      </w:rPr>
    </w:lvl>
    <w:lvl w:ilvl="7" w:tplc="041A0003" w:tentative="1">
      <w:start w:val="1"/>
      <w:numFmt w:val="bullet"/>
      <w:lvlText w:val="o"/>
      <w:lvlJc w:val="left"/>
      <w:pPr>
        <w:ind w:left="6192" w:hanging="360"/>
      </w:pPr>
      <w:rPr>
        <w:rFonts w:ascii="Courier New" w:hAnsi="Courier New" w:cs="Courier New" w:hint="default"/>
      </w:rPr>
    </w:lvl>
    <w:lvl w:ilvl="8" w:tplc="041A0005" w:tentative="1">
      <w:start w:val="1"/>
      <w:numFmt w:val="bullet"/>
      <w:lvlText w:val=""/>
      <w:lvlJc w:val="left"/>
      <w:pPr>
        <w:ind w:left="6912" w:hanging="360"/>
      </w:pPr>
      <w:rPr>
        <w:rFonts w:ascii="Wingdings" w:hAnsi="Wingdings" w:hint="default"/>
      </w:rPr>
    </w:lvl>
  </w:abstractNum>
  <w:abstractNum w:abstractNumId="24" w15:restartNumberingAfterBreak="0">
    <w:nsid w:val="77F25216"/>
    <w:multiLevelType w:val="hybridMultilevel"/>
    <w:tmpl w:val="C1207CC2"/>
    <w:lvl w:ilvl="0" w:tplc="041A0001">
      <w:start w:val="1"/>
      <w:numFmt w:val="bullet"/>
      <w:lvlText w:val=""/>
      <w:lvlJc w:val="left"/>
      <w:pPr>
        <w:ind w:left="1457" w:hanging="360"/>
      </w:pPr>
      <w:rPr>
        <w:rFonts w:ascii="Symbol" w:hAnsi="Symbol" w:hint="default"/>
      </w:rPr>
    </w:lvl>
    <w:lvl w:ilvl="1" w:tplc="041A0003" w:tentative="1">
      <w:start w:val="1"/>
      <w:numFmt w:val="bullet"/>
      <w:lvlText w:val="o"/>
      <w:lvlJc w:val="left"/>
      <w:pPr>
        <w:ind w:left="2177" w:hanging="360"/>
      </w:pPr>
      <w:rPr>
        <w:rFonts w:ascii="Courier New" w:hAnsi="Courier New" w:cs="Courier New" w:hint="default"/>
      </w:rPr>
    </w:lvl>
    <w:lvl w:ilvl="2" w:tplc="041A0005" w:tentative="1">
      <w:start w:val="1"/>
      <w:numFmt w:val="bullet"/>
      <w:lvlText w:val=""/>
      <w:lvlJc w:val="left"/>
      <w:pPr>
        <w:ind w:left="2897" w:hanging="360"/>
      </w:pPr>
      <w:rPr>
        <w:rFonts w:ascii="Wingdings" w:hAnsi="Wingdings" w:hint="default"/>
      </w:rPr>
    </w:lvl>
    <w:lvl w:ilvl="3" w:tplc="041A0001" w:tentative="1">
      <w:start w:val="1"/>
      <w:numFmt w:val="bullet"/>
      <w:lvlText w:val=""/>
      <w:lvlJc w:val="left"/>
      <w:pPr>
        <w:ind w:left="3617" w:hanging="360"/>
      </w:pPr>
      <w:rPr>
        <w:rFonts w:ascii="Symbol" w:hAnsi="Symbol" w:hint="default"/>
      </w:rPr>
    </w:lvl>
    <w:lvl w:ilvl="4" w:tplc="041A0003" w:tentative="1">
      <w:start w:val="1"/>
      <w:numFmt w:val="bullet"/>
      <w:lvlText w:val="o"/>
      <w:lvlJc w:val="left"/>
      <w:pPr>
        <w:ind w:left="4337" w:hanging="360"/>
      </w:pPr>
      <w:rPr>
        <w:rFonts w:ascii="Courier New" w:hAnsi="Courier New" w:cs="Courier New" w:hint="default"/>
      </w:rPr>
    </w:lvl>
    <w:lvl w:ilvl="5" w:tplc="041A0005" w:tentative="1">
      <w:start w:val="1"/>
      <w:numFmt w:val="bullet"/>
      <w:lvlText w:val=""/>
      <w:lvlJc w:val="left"/>
      <w:pPr>
        <w:ind w:left="5057" w:hanging="360"/>
      </w:pPr>
      <w:rPr>
        <w:rFonts w:ascii="Wingdings" w:hAnsi="Wingdings" w:hint="default"/>
      </w:rPr>
    </w:lvl>
    <w:lvl w:ilvl="6" w:tplc="041A0001" w:tentative="1">
      <w:start w:val="1"/>
      <w:numFmt w:val="bullet"/>
      <w:lvlText w:val=""/>
      <w:lvlJc w:val="left"/>
      <w:pPr>
        <w:ind w:left="5777" w:hanging="360"/>
      </w:pPr>
      <w:rPr>
        <w:rFonts w:ascii="Symbol" w:hAnsi="Symbol" w:hint="default"/>
      </w:rPr>
    </w:lvl>
    <w:lvl w:ilvl="7" w:tplc="041A0003" w:tentative="1">
      <w:start w:val="1"/>
      <w:numFmt w:val="bullet"/>
      <w:lvlText w:val="o"/>
      <w:lvlJc w:val="left"/>
      <w:pPr>
        <w:ind w:left="6497" w:hanging="360"/>
      </w:pPr>
      <w:rPr>
        <w:rFonts w:ascii="Courier New" w:hAnsi="Courier New" w:cs="Courier New" w:hint="default"/>
      </w:rPr>
    </w:lvl>
    <w:lvl w:ilvl="8" w:tplc="041A0005" w:tentative="1">
      <w:start w:val="1"/>
      <w:numFmt w:val="bullet"/>
      <w:lvlText w:val=""/>
      <w:lvlJc w:val="left"/>
      <w:pPr>
        <w:ind w:left="7217" w:hanging="360"/>
      </w:pPr>
      <w:rPr>
        <w:rFonts w:ascii="Wingdings" w:hAnsi="Wingdings" w:hint="default"/>
      </w:rPr>
    </w:lvl>
  </w:abstractNum>
  <w:abstractNum w:abstractNumId="25" w15:restartNumberingAfterBreak="0">
    <w:nsid w:val="7DC24335"/>
    <w:multiLevelType w:val="multilevel"/>
    <w:tmpl w:val="464C4A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89167115">
    <w:abstractNumId w:val="14"/>
  </w:num>
  <w:num w:numId="2" w16cid:durableId="188688408">
    <w:abstractNumId w:val="2"/>
  </w:num>
  <w:num w:numId="3" w16cid:durableId="1816212908">
    <w:abstractNumId w:val="17"/>
  </w:num>
  <w:num w:numId="4" w16cid:durableId="366806133">
    <w:abstractNumId w:val="25"/>
  </w:num>
  <w:num w:numId="5" w16cid:durableId="413665999">
    <w:abstractNumId w:val="5"/>
  </w:num>
  <w:num w:numId="6" w16cid:durableId="1527252510">
    <w:abstractNumId w:val="13"/>
  </w:num>
  <w:num w:numId="7" w16cid:durableId="1299258603">
    <w:abstractNumId w:val="10"/>
  </w:num>
  <w:num w:numId="8" w16cid:durableId="1940290209">
    <w:abstractNumId w:val="20"/>
  </w:num>
  <w:num w:numId="9" w16cid:durableId="754087351">
    <w:abstractNumId w:val="22"/>
  </w:num>
  <w:num w:numId="10" w16cid:durableId="1182476357">
    <w:abstractNumId w:val="25"/>
  </w:num>
  <w:num w:numId="11" w16cid:durableId="1161849315">
    <w:abstractNumId w:val="18"/>
  </w:num>
  <w:num w:numId="12" w16cid:durableId="1807968831">
    <w:abstractNumId w:val="16"/>
  </w:num>
  <w:num w:numId="13" w16cid:durableId="1380865079">
    <w:abstractNumId w:val="0"/>
  </w:num>
  <w:num w:numId="14" w16cid:durableId="1852641650">
    <w:abstractNumId w:val="19"/>
  </w:num>
  <w:num w:numId="15" w16cid:durableId="1607272729">
    <w:abstractNumId w:val="16"/>
  </w:num>
  <w:num w:numId="16" w16cid:durableId="1766992551">
    <w:abstractNumId w:val="3"/>
  </w:num>
  <w:num w:numId="17" w16cid:durableId="457840317">
    <w:abstractNumId w:val="4"/>
  </w:num>
  <w:num w:numId="18" w16cid:durableId="818810180">
    <w:abstractNumId w:val="11"/>
  </w:num>
  <w:num w:numId="19" w16cid:durableId="676074673">
    <w:abstractNumId w:val="7"/>
  </w:num>
  <w:num w:numId="20" w16cid:durableId="1362824272">
    <w:abstractNumId w:val="1"/>
  </w:num>
  <w:num w:numId="21" w16cid:durableId="1361324975">
    <w:abstractNumId w:val="8"/>
  </w:num>
  <w:num w:numId="22" w16cid:durableId="1503550686">
    <w:abstractNumId w:val="24"/>
  </w:num>
  <w:num w:numId="23" w16cid:durableId="1537083911">
    <w:abstractNumId w:val="21"/>
  </w:num>
  <w:num w:numId="24" w16cid:durableId="573784601">
    <w:abstractNumId w:val="12"/>
  </w:num>
  <w:num w:numId="25" w16cid:durableId="408844175">
    <w:abstractNumId w:val="23"/>
  </w:num>
  <w:num w:numId="26" w16cid:durableId="503281505">
    <w:abstractNumId w:val="6"/>
  </w:num>
  <w:num w:numId="27" w16cid:durableId="949435993">
    <w:abstractNumId w:val="9"/>
  </w:num>
  <w:num w:numId="28" w16cid:durableId="19032552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1F"/>
    <w:rsid w:val="0000065C"/>
    <w:rsid w:val="00001395"/>
    <w:rsid w:val="00001507"/>
    <w:rsid w:val="00005C58"/>
    <w:rsid w:val="000152C3"/>
    <w:rsid w:val="0002203A"/>
    <w:rsid w:val="00031666"/>
    <w:rsid w:val="00040123"/>
    <w:rsid w:val="00040BBB"/>
    <w:rsid w:val="00042CBF"/>
    <w:rsid w:val="00052AD5"/>
    <w:rsid w:val="000534B3"/>
    <w:rsid w:val="00054917"/>
    <w:rsid w:val="0006026B"/>
    <w:rsid w:val="0006074E"/>
    <w:rsid w:val="00060F8B"/>
    <w:rsid w:val="00061EB6"/>
    <w:rsid w:val="000626F6"/>
    <w:rsid w:val="000637DD"/>
    <w:rsid w:val="00063E80"/>
    <w:rsid w:val="00064AA2"/>
    <w:rsid w:val="00071239"/>
    <w:rsid w:val="000713B1"/>
    <w:rsid w:val="00072106"/>
    <w:rsid w:val="000779AA"/>
    <w:rsid w:val="00081223"/>
    <w:rsid w:val="000866A6"/>
    <w:rsid w:val="00092425"/>
    <w:rsid w:val="00092B54"/>
    <w:rsid w:val="000A1D95"/>
    <w:rsid w:val="000A5F89"/>
    <w:rsid w:val="000B0E93"/>
    <w:rsid w:val="000B2E7A"/>
    <w:rsid w:val="000B53AC"/>
    <w:rsid w:val="000B6DBB"/>
    <w:rsid w:val="000B724E"/>
    <w:rsid w:val="000C09AC"/>
    <w:rsid w:val="000C7C05"/>
    <w:rsid w:val="000D43C6"/>
    <w:rsid w:val="000D7454"/>
    <w:rsid w:val="000D7E76"/>
    <w:rsid w:val="000E1107"/>
    <w:rsid w:val="000E2D19"/>
    <w:rsid w:val="000F2F11"/>
    <w:rsid w:val="000F3908"/>
    <w:rsid w:val="00111BB6"/>
    <w:rsid w:val="001130CE"/>
    <w:rsid w:val="001156CE"/>
    <w:rsid w:val="00121810"/>
    <w:rsid w:val="00122253"/>
    <w:rsid w:val="00123A50"/>
    <w:rsid w:val="00137811"/>
    <w:rsid w:val="0015171A"/>
    <w:rsid w:val="00151F3E"/>
    <w:rsid w:val="001521E8"/>
    <w:rsid w:val="001531CA"/>
    <w:rsid w:val="00156E34"/>
    <w:rsid w:val="00160E4E"/>
    <w:rsid w:val="00160FAC"/>
    <w:rsid w:val="0016349F"/>
    <w:rsid w:val="00173904"/>
    <w:rsid w:val="00174E0C"/>
    <w:rsid w:val="001863F7"/>
    <w:rsid w:val="0019022A"/>
    <w:rsid w:val="0019237A"/>
    <w:rsid w:val="00195B70"/>
    <w:rsid w:val="001A071A"/>
    <w:rsid w:val="001A17E0"/>
    <w:rsid w:val="001A21C9"/>
    <w:rsid w:val="001A23B8"/>
    <w:rsid w:val="001B0DD9"/>
    <w:rsid w:val="001C011C"/>
    <w:rsid w:val="001C0887"/>
    <w:rsid w:val="001C1104"/>
    <w:rsid w:val="001C4C5A"/>
    <w:rsid w:val="001C631C"/>
    <w:rsid w:val="001D1AC8"/>
    <w:rsid w:val="001E19A2"/>
    <w:rsid w:val="001E3024"/>
    <w:rsid w:val="001F0006"/>
    <w:rsid w:val="001F3B1A"/>
    <w:rsid w:val="00206452"/>
    <w:rsid w:val="00207653"/>
    <w:rsid w:val="00212592"/>
    <w:rsid w:val="002128A9"/>
    <w:rsid w:val="002132E0"/>
    <w:rsid w:val="002147CD"/>
    <w:rsid w:val="00215FB5"/>
    <w:rsid w:val="00217EB6"/>
    <w:rsid w:val="0022127D"/>
    <w:rsid w:val="0022348E"/>
    <w:rsid w:val="00233133"/>
    <w:rsid w:val="00233E6C"/>
    <w:rsid w:val="002412CE"/>
    <w:rsid w:val="0024738B"/>
    <w:rsid w:val="002503DF"/>
    <w:rsid w:val="002503E4"/>
    <w:rsid w:val="00253CE4"/>
    <w:rsid w:val="002608D5"/>
    <w:rsid w:val="002610BE"/>
    <w:rsid w:val="002610FC"/>
    <w:rsid w:val="0026320D"/>
    <w:rsid w:val="002738ED"/>
    <w:rsid w:val="002773CE"/>
    <w:rsid w:val="002778DA"/>
    <w:rsid w:val="0028051C"/>
    <w:rsid w:val="00283463"/>
    <w:rsid w:val="00286C0F"/>
    <w:rsid w:val="00294016"/>
    <w:rsid w:val="002948B0"/>
    <w:rsid w:val="0029684D"/>
    <w:rsid w:val="002A516A"/>
    <w:rsid w:val="002A68FC"/>
    <w:rsid w:val="002B124A"/>
    <w:rsid w:val="002C2257"/>
    <w:rsid w:val="002D2481"/>
    <w:rsid w:val="002E1E20"/>
    <w:rsid w:val="002E3DB9"/>
    <w:rsid w:val="002E4B8A"/>
    <w:rsid w:val="002F259C"/>
    <w:rsid w:val="002F3FD6"/>
    <w:rsid w:val="002F705B"/>
    <w:rsid w:val="00311B12"/>
    <w:rsid w:val="00313CB2"/>
    <w:rsid w:val="00313D94"/>
    <w:rsid w:val="00316DB5"/>
    <w:rsid w:val="003232B5"/>
    <w:rsid w:val="003263A3"/>
    <w:rsid w:val="003305B9"/>
    <w:rsid w:val="00330B03"/>
    <w:rsid w:val="0034017D"/>
    <w:rsid w:val="003410A9"/>
    <w:rsid w:val="003443C5"/>
    <w:rsid w:val="003454C2"/>
    <w:rsid w:val="003521E1"/>
    <w:rsid w:val="00365787"/>
    <w:rsid w:val="00365895"/>
    <w:rsid w:val="00366D41"/>
    <w:rsid w:val="00377ED8"/>
    <w:rsid w:val="0038052C"/>
    <w:rsid w:val="00381613"/>
    <w:rsid w:val="00381CD3"/>
    <w:rsid w:val="00384041"/>
    <w:rsid w:val="00385CFE"/>
    <w:rsid w:val="0039524A"/>
    <w:rsid w:val="003973C0"/>
    <w:rsid w:val="003A0563"/>
    <w:rsid w:val="003A3C9A"/>
    <w:rsid w:val="003B35BB"/>
    <w:rsid w:val="003C1010"/>
    <w:rsid w:val="003C436C"/>
    <w:rsid w:val="003C49D1"/>
    <w:rsid w:val="003C7376"/>
    <w:rsid w:val="003D1D8E"/>
    <w:rsid w:val="003D39DE"/>
    <w:rsid w:val="003D5125"/>
    <w:rsid w:val="003D5225"/>
    <w:rsid w:val="003D6439"/>
    <w:rsid w:val="003D6FCF"/>
    <w:rsid w:val="003E2376"/>
    <w:rsid w:val="003E5AA5"/>
    <w:rsid w:val="003E666B"/>
    <w:rsid w:val="003E7617"/>
    <w:rsid w:val="003F08BE"/>
    <w:rsid w:val="003F13B4"/>
    <w:rsid w:val="003F1E18"/>
    <w:rsid w:val="003F2A59"/>
    <w:rsid w:val="003F3B06"/>
    <w:rsid w:val="003F3CA6"/>
    <w:rsid w:val="003F3D4F"/>
    <w:rsid w:val="003F6E7E"/>
    <w:rsid w:val="003F73CD"/>
    <w:rsid w:val="00400BA3"/>
    <w:rsid w:val="00405BEA"/>
    <w:rsid w:val="00410333"/>
    <w:rsid w:val="00413C01"/>
    <w:rsid w:val="00414A06"/>
    <w:rsid w:val="00417E9A"/>
    <w:rsid w:val="004203F7"/>
    <w:rsid w:val="00421610"/>
    <w:rsid w:val="00423CDD"/>
    <w:rsid w:val="00430F7E"/>
    <w:rsid w:val="00433C36"/>
    <w:rsid w:val="00433D54"/>
    <w:rsid w:val="00440149"/>
    <w:rsid w:val="0044478F"/>
    <w:rsid w:val="0045103A"/>
    <w:rsid w:val="004528A6"/>
    <w:rsid w:val="00453DD5"/>
    <w:rsid w:val="00456226"/>
    <w:rsid w:val="004570DD"/>
    <w:rsid w:val="00462A4A"/>
    <w:rsid w:val="00463709"/>
    <w:rsid w:val="004664E0"/>
    <w:rsid w:val="00466770"/>
    <w:rsid w:val="00471B58"/>
    <w:rsid w:val="0047299E"/>
    <w:rsid w:val="004812D3"/>
    <w:rsid w:val="004829CD"/>
    <w:rsid w:val="004838C1"/>
    <w:rsid w:val="00484B24"/>
    <w:rsid w:val="00490FA0"/>
    <w:rsid w:val="00492E5F"/>
    <w:rsid w:val="00496A9C"/>
    <w:rsid w:val="00497298"/>
    <w:rsid w:val="004A3322"/>
    <w:rsid w:val="004A36BE"/>
    <w:rsid w:val="004A5C32"/>
    <w:rsid w:val="004A6D54"/>
    <w:rsid w:val="004B37F3"/>
    <w:rsid w:val="004B61D4"/>
    <w:rsid w:val="004B7FF7"/>
    <w:rsid w:val="004C4724"/>
    <w:rsid w:val="004C68A4"/>
    <w:rsid w:val="004E0481"/>
    <w:rsid w:val="004E37B8"/>
    <w:rsid w:val="004E3C03"/>
    <w:rsid w:val="004E7A9F"/>
    <w:rsid w:val="004F072D"/>
    <w:rsid w:val="004F2638"/>
    <w:rsid w:val="00501AB6"/>
    <w:rsid w:val="00501CE8"/>
    <w:rsid w:val="00507741"/>
    <w:rsid w:val="005212C2"/>
    <w:rsid w:val="005239E8"/>
    <w:rsid w:val="00527E72"/>
    <w:rsid w:val="00532DC1"/>
    <w:rsid w:val="00544BDE"/>
    <w:rsid w:val="00545111"/>
    <w:rsid w:val="0054527B"/>
    <w:rsid w:val="005504F3"/>
    <w:rsid w:val="00552BC2"/>
    <w:rsid w:val="00552CC5"/>
    <w:rsid w:val="0055467F"/>
    <w:rsid w:val="005553F3"/>
    <w:rsid w:val="005665A5"/>
    <w:rsid w:val="0057028C"/>
    <w:rsid w:val="00572975"/>
    <w:rsid w:val="00574D47"/>
    <w:rsid w:val="005759E3"/>
    <w:rsid w:val="0057753B"/>
    <w:rsid w:val="0058165F"/>
    <w:rsid w:val="0058655C"/>
    <w:rsid w:val="005921F8"/>
    <w:rsid w:val="00594F1C"/>
    <w:rsid w:val="00597F74"/>
    <w:rsid w:val="005A1F10"/>
    <w:rsid w:val="005A6002"/>
    <w:rsid w:val="005A6DDA"/>
    <w:rsid w:val="005B62FC"/>
    <w:rsid w:val="005C169D"/>
    <w:rsid w:val="005C1DE3"/>
    <w:rsid w:val="005C2250"/>
    <w:rsid w:val="005C3163"/>
    <w:rsid w:val="005C32D4"/>
    <w:rsid w:val="005C36D7"/>
    <w:rsid w:val="005C7F85"/>
    <w:rsid w:val="005D01EC"/>
    <w:rsid w:val="005D21A4"/>
    <w:rsid w:val="005D49DB"/>
    <w:rsid w:val="005D5E5E"/>
    <w:rsid w:val="005E28B8"/>
    <w:rsid w:val="005E3FE3"/>
    <w:rsid w:val="005F24A8"/>
    <w:rsid w:val="0060190A"/>
    <w:rsid w:val="006020FF"/>
    <w:rsid w:val="00603703"/>
    <w:rsid w:val="00607567"/>
    <w:rsid w:val="006124C8"/>
    <w:rsid w:val="006130B3"/>
    <w:rsid w:val="00613671"/>
    <w:rsid w:val="006228D8"/>
    <w:rsid w:val="0062338D"/>
    <w:rsid w:val="00623BE5"/>
    <w:rsid w:val="00623CFA"/>
    <w:rsid w:val="00624EE6"/>
    <w:rsid w:val="00625B7B"/>
    <w:rsid w:val="00631D64"/>
    <w:rsid w:val="0063687F"/>
    <w:rsid w:val="00642DA6"/>
    <w:rsid w:val="00646F83"/>
    <w:rsid w:val="00650A74"/>
    <w:rsid w:val="006514F1"/>
    <w:rsid w:val="00654E3F"/>
    <w:rsid w:val="00656D54"/>
    <w:rsid w:val="00661C41"/>
    <w:rsid w:val="006644D2"/>
    <w:rsid w:val="0066451D"/>
    <w:rsid w:val="00667D21"/>
    <w:rsid w:val="00667EBA"/>
    <w:rsid w:val="00670AFF"/>
    <w:rsid w:val="0067416C"/>
    <w:rsid w:val="0067602E"/>
    <w:rsid w:val="00680CCA"/>
    <w:rsid w:val="00681100"/>
    <w:rsid w:val="00693487"/>
    <w:rsid w:val="00694960"/>
    <w:rsid w:val="00694B61"/>
    <w:rsid w:val="00694C4C"/>
    <w:rsid w:val="006B276E"/>
    <w:rsid w:val="006B4FA6"/>
    <w:rsid w:val="006B79A9"/>
    <w:rsid w:val="006C106E"/>
    <w:rsid w:val="006C405F"/>
    <w:rsid w:val="006D0F2B"/>
    <w:rsid w:val="006E020A"/>
    <w:rsid w:val="006E10F8"/>
    <w:rsid w:val="006F0831"/>
    <w:rsid w:val="006F2080"/>
    <w:rsid w:val="006F6298"/>
    <w:rsid w:val="007015DF"/>
    <w:rsid w:val="00702FB7"/>
    <w:rsid w:val="00705C84"/>
    <w:rsid w:val="00707E93"/>
    <w:rsid w:val="00711DBA"/>
    <w:rsid w:val="007145C2"/>
    <w:rsid w:val="00716BFE"/>
    <w:rsid w:val="00720358"/>
    <w:rsid w:val="00726821"/>
    <w:rsid w:val="00740DFA"/>
    <w:rsid w:val="00741DC7"/>
    <w:rsid w:val="0074214D"/>
    <w:rsid w:val="00754812"/>
    <w:rsid w:val="0075515A"/>
    <w:rsid w:val="00756214"/>
    <w:rsid w:val="007704F2"/>
    <w:rsid w:val="0077161B"/>
    <w:rsid w:val="00776E6E"/>
    <w:rsid w:val="0078393C"/>
    <w:rsid w:val="00783A6E"/>
    <w:rsid w:val="00786336"/>
    <w:rsid w:val="00791EA0"/>
    <w:rsid w:val="007950AC"/>
    <w:rsid w:val="007A1907"/>
    <w:rsid w:val="007A3372"/>
    <w:rsid w:val="007A34BE"/>
    <w:rsid w:val="007A3BC3"/>
    <w:rsid w:val="007B096C"/>
    <w:rsid w:val="007B43D8"/>
    <w:rsid w:val="007B7B4D"/>
    <w:rsid w:val="007C0A91"/>
    <w:rsid w:val="007C3D90"/>
    <w:rsid w:val="007D1079"/>
    <w:rsid w:val="007D1E92"/>
    <w:rsid w:val="007D3044"/>
    <w:rsid w:val="007D5212"/>
    <w:rsid w:val="007D660B"/>
    <w:rsid w:val="007E084C"/>
    <w:rsid w:val="007E44BE"/>
    <w:rsid w:val="007E4829"/>
    <w:rsid w:val="007F18E8"/>
    <w:rsid w:val="007F45A3"/>
    <w:rsid w:val="007F647B"/>
    <w:rsid w:val="00803D39"/>
    <w:rsid w:val="008079A2"/>
    <w:rsid w:val="00813BE9"/>
    <w:rsid w:val="008153FE"/>
    <w:rsid w:val="00815F1B"/>
    <w:rsid w:val="00820BAE"/>
    <w:rsid w:val="00827CBA"/>
    <w:rsid w:val="00830585"/>
    <w:rsid w:val="00840F80"/>
    <w:rsid w:val="0084520A"/>
    <w:rsid w:val="00852BC7"/>
    <w:rsid w:val="00852D18"/>
    <w:rsid w:val="0085485D"/>
    <w:rsid w:val="00857D74"/>
    <w:rsid w:val="0086003D"/>
    <w:rsid w:val="008631F7"/>
    <w:rsid w:val="00864F35"/>
    <w:rsid w:val="00867D9C"/>
    <w:rsid w:val="0087178B"/>
    <w:rsid w:val="0087269B"/>
    <w:rsid w:val="00881B74"/>
    <w:rsid w:val="00882E9B"/>
    <w:rsid w:val="008853EB"/>
    <w:rsid w:val="0088661F"/>
    <w:rsid w:val="00894078"/>
    <w:rsid w:val="008A37FA"/>
    <w:rsid w:val="008A458D"/>
    <w:rsid w:val="008A667D"/>
    <w:rsid w:val="008B35C9"/>
    <w:rsid w:val="008B4F14"/>
    <w:rsid w:val="008C0BC9"/>
    <w:rsid w:val="008C3CD1"/>
    <w:rsid w:val="008C53D0"/>
    <w:rsid w:val="008C625A"/>
    <w:rsid w:val="008C737E"/>
    <w:rsid w:val="008D02A9"/>
    <w:rsid w:val="008D05C7"/>
    <w:rsid w:val="008D6EE1"/>
    <w:rsid w:val="008D75A1"/>
    <w:rsid w:val="008E3BAB"/>
    <w:rsid w:val="008E77C6"/>
    <w:rsid w:val="00903BB3"/>
    <w:rsid w:val="00904434"/>
    <w:rsid w:val="009077AF"/>
    <w:rsid w:val="00911954"/>
    <w:rsid w:val="0091741A"/>
    <w:rsid w:val="0092099D"/>
    <w:rsid w:val="00920A15"/>
    <w:rsid w:val="00921BDA"/>
    <w:rsid w:val="00932A65"/>
    <w:rsid w:val="00933A8E"/>
    <w:rsid w:val="00940133"/>
    <w:rsid w:val="00946158"/>
    <w:rsid w:val="00950DB3"/>
    <w:rsid w:val="009543FA"/>
    <w:rsid w:val="0095728A"/>
    <w:rsid w:val="0096316E"/>
    <w:rsid w:val="00965E61"/>
    <w:rsid w:val="0097030F"/>
    <w:rsid w:val="00980B31"/>
    <w:rsid w:val="00981181"/>
    <w:rsid w:val="00982FEE"/>
    <w:rsid w:val="009861CE"/>
    <w:rsid w:val="009865BE"/>
    <w:rsid w:val="009871D1"/>
    <w:rsid w:val="00987ABE"/>
    <w:rsid w:val="009A541F"/>
    <w:rsid w:val="009C2604"/>
    <w:rsid w:val="009C6173"/>
    <w:rsid w:val="009C7D9B"/>
    <w:rsid w:val="009D2F22"/>
    <w:rsid w:val="009D7DA3"/>
    <w:rsid w:val="009E041A"/>
    <w:rsid w:val="009E0ADC"/>
    <w:rsid w:val="009E13E8"/>
    <w:rsid w:val="009E43FF"/>
    <w:rsid w:val="009E55AA"/>
    <w:rsid w:val="009E71F3"/>
    <w:rsid w:val="009F0CC1"/>
    <w:rsid w:val="009F21C7"/>
    <w:rsid w:val="009F4A90"/>
    <w:rsid w:val="009F5559"/>
    <w:rsid w:val="009F5BF7"/>
    <w:rsid w:val="009F6A29"/>
    <w:rsid w:val="00A01B52"/>
    <w:rsid w:val="00A032EC"/>
    <w:rsid w:val="00A050EE"/>
    <w:rsid w:val="00A23A41"/>
    <w:rsid w:val="00A25BDB"/>
    <w:rsid w:val="00A32549"/>
    <w:rsid w:val="00A4405B"/>
    <w:rsid w:val="00A4547D"/>
    <w:rsid w:val="00A45884"/>
    <w:rsid w:val="00A46FBC"/>
    <w:rsid w:val="00A51EE4"/>
    <w:rsid w:val="00A6028E"/>
    <w:rsid w:val="00A604B8"/>
    <w:rsid w:val="00A60ED7"/>
    <w:rsid w:val="00A65DA1"/>
    <w:rsid w:val="00A706EF"/>
    <w:rsid w:val="00A72454"/>
    <w:rsid w:val="00A73C44"/>
    <w:rsid w:val="00A920A2"/>
    <w:rsid w:val="00A941E4"/>
    <w:rsid w:val="00A97CFB"/>
    <w:rsid w:val="00AA2FF4"/>
    <w:rsid w:val="00AB1C74"/>
    <w:rsid w:val="00AB7EA2"/>
    <w:rsid w:val="00AC074B"/>
    <w:rsid w:val="00AC5870"/>
    <w:rsid w:val="00AD28E1"/>
    <w:rsid w:val="00AD4B5E"/>
    <w:rsid w:val="00AE12FC"/>
    <w:rsid w:val="00AE2F1C"/>
    <w:rsid w:val="00AE3C58"/>
    <w:rsid w:val="00AE4579"/>
    <w:rsid w:val="00AE6102"/>
    <w:rsid w:val="00AE7FBC"/>
    <w:rsid w:val="00B010F3"/>
    <w:rsid w:val="00B03287"/>
    <w:rsid w:val="00B054C3"/>
    <w:rsid w:val="00B10E4A"/>
    <w:rsid w:val="00B10F2E"/>
    <w:rsid w:val="00B20C54"/>
    <w:rsid w:val="00B31D1C"/>
    <w:rsid w:val="00B32A32"/>
    <w:rsid w:val="00B34734"/>
    <w:rsid w:val="00B36155"/>
    <w:rsid w:val="00B36792"/>
    <w:rsid w:val="00B45187"/>
    <w:rsid w:val="00B47428"/>
    <w:rsid w:val="00B54EDE"/>
    <w:rsid w:val="00B55279"/>
    <w:rsid w:val="00B645AD"/>
    <w:rsid w:val="00B66569"/>
    <w:rsid w:val="00B67772"/>
    <w:rsid w:val="00B72CF4"/>
    <w:rsid w:val="00B77BC5"/>
    <w:rsid w:val="00B81033"/>
    <w:rsid w:val="00B84938"/>
    <w:rsid w:val="00B8505E"/>
    <w:rsid w:val="00B859C3"/>
    <w:rsid w:val="00B94E27"/>
    <w:rsid w:val="00B964C4"/>
    <w:rsid w:val="00BA070C"/>
    <w:rsid w:val="00BA1379"/>
    <w:rsid w:val="00BA1510"/>
    <w:rsid w:val="00BA6C43"/>
    <w:rsid w:val="00BB0557"/>
    <w:rsid w:val="00BB4855"/>
    <w:rsid w:val="00BB4AAE"/>
    <w:rsid w:val="00BB584F"/>
    <w:rsid w:val="00BB6D51"/>
    <w:rsid w:val="00BB6E28"/>
    <w:rsid w:val="00BC2033"/>
    <w:rsid w:val="00BC27D2"/>
    <w:rsid w:val="00BD1BD3"/>
    <w:rsid w:val="00BD23F3"/>
    <w:rsid w:val="00BD4FEC"/>
    <w:rsid w:val="00BD7BCA"/>
    <w:rsid w:val="00BE0D96"/>
    <w:rsid w:val="00BE18A8"/>
    <w:rsid w:val="00BE191B"/>
    <w:rsid w:val="00BE1E60"/>
    <w:rsid w:val="00BE23FE"/>
    <w:rsid w:val="00BE4E83"/>
    <w:rsid w:val="00BE54C0"/>
    <w:rsid w:val="00BF11B0"/>
    <w:rsid w:val="00BF1626"/>
    <w:rsid w:val="00BF1CFD"/>
    <w:rsid w:val="00BF26E8"/>
    <w:rsid w:val="00BF473A"/>
    <w:rsid w:val="00BF6A2A"/>
    <w:rsid w:val="00C047A3"/>
    <w:rsid w:val="00C051BB"/>
    <w:rsid w:val="00C07BE5"/>
    <w:rsid w:val="00C12AA5"/>
    <w:rsid w:val="00C21D83"/>
    <w:rsid w:val="00C227BC"/>
    <w:rsid w:val="00C23102"/>
    <w:rsid w:val="00C246DC"/>
    <w:rsid w:val="00C2494A"/>
    <w:rsid w:val="00C273BD"/>
    <w:rsid w:val="00C3078B"/>
    <w:rsid w:val="00C314FF"/>
    <w:rsid w:val="00C322EA"/>
    <w:rsid w:val="00C33D62"/>
    <w:rsid w:val="00C37D56"/>
    <w:rsid w:val="00C40903"/>
    <w:rsid w:val="00C477FC"/>
    <w:rsid w:val="00C624B6"/>
    <w:rsid w:val="00C62904"/>
    <w:rsid w:val="00C74A15"/>
    <w:rsid w:val="00C76571"/>
    <w:rsid w:val="00C77196"/>
    <w:rsid w:val="00C821F1"/>
    <w:rsid w:val="00C82ED4"/>
    <w:rsid w:val="00C8718D"/>
    <w:rsid w:val="00C87E1A"/>
    <w:rsid w:val="00C90DB1"/>
    <w:rsid w:val="00C91F9A"/>
    <w:rsid w:val="00C9389A"/>
    <w:rsid w:val="00C94AA3"/>
    <w:rsid w:val="00C95F5A"/>
    <w:rsid w:val="00C96680"/>
    <w:rsid w:val="00CA1ECC"/>
    <w:rsid w:val="00CA41A1"/>
    <w:rsid w:val="00CA4743"/>
    <w:rsid w:val="00CA6CA1"/>
    <w:rsid w:val="00CB09BE"/>
    <w:rsid w:val="00CB1DE7"/>
    <w:rsid w:val="00CB2E0C"/>
    <w:rsid w:val="00CB3032"/>
    <w:rsid w:val="00CC2AD3"/>
    <w:rsid w:val="00CC2F56"/>
    <w:rsid w:val="00CC3849"/>
    <w:rsid w:val="00CC5558"/>
    <w:rsid w:val="00CC5E26"/>
    <w:rsid w:val="00CC7081"/>
    <w:rsid w:val="00CD07A7"/>
    <w:rsid w:val="00CD1DD5"/>
    <w:rsid w:val="00CD2E21"/>
    <w:rsid w:val="00CD7259"/>
    <w:rsid w:val="00CD7F3A"/>
    <w:rsid w:val="00CD7FA5"/>
    <w:rsid w:val="00CE3305"/>
    <w:rsid w:val="00CE348A"/>
    <w:rsid w:val="00CE7D0B"/>
    <w:rsid w:val="00CF0A6E"/>
    <w:rsid w:val="00CF0CD1"/>
    <w:rsid w:val="00CF5E93"/>
    <w:rsid w:val="00CF62CB"/>
    <w:rsid w:val="00CF7F35"/>
    <w:rsid w:val="00D01356"/>
    <w:rsid w:val="00D06706"/>
    <w:rsid w:val="00D07DA2"/>
    <w:rsid w:val="00D12E61"/>
    <w:rsid w:val="00D13D56"/>
    <w:rsid w:val="00D15210"/>
    <w:rsid w:val="00D15A05"/>
    <w:rsid w:val="00D17C76"/>
    <w:rsid w:val="00D27E1B"/>
    <w:rsid w:val="00D35447"/>
    <w:rsid w:val="00D37DA2"/>
    <w:rsid w:val="00D406A2"/>
    <w:rsid w:val="00D41C67"/>
    <w:rsid w:val="00D47ABB"/>
    <w:rsid w:val="00D5067B"/>
    <w:rsid w:val="00D53C0F"/>
    <w:rsid w:val="00D560E1"/>
    <w:rsid w:val="00D630DE"/>
    <w:rsid w:val="00D670AE"/>
    <w:rsid w:val="00D6779E"/>
    <w:rsid w:val="00D706F8"/>
    <w:rsid w:val="00D741C3"/>
    <w:rsid w:val="00D74CC4"/>
    <w:rsid w:val="00D76E0C"/>
    <w:rsid w:val="00D821FB"/>
    <w:rsid w:val="00D825C1"/>
    <w:rsid w:val="00D84656"/>
    <w:rsid w:val="00D8475F"/>
    <w:rsid w:val="00D9130E"/>
    <w:rsid w:val="00DA0F1D"/>
    <w:rsid w:val="00DA109E"/>
    <w:rsid w:val="00DA19C2"/>
    <w:rsid w:val="00DA3E8E"/>
    <w:rsid w:val="00DB2973"/>
    <w:rsid w:val="00DB39BF"/>
    <w:rsid w:val="00DC04F3"/>
    <w:rsid w:val="00DC2140"/>
    <w:rsid w:val="00DC2EA3"/>
    <w:rsid w:val="00DC58FB"/>
    <w:rsid w:val="00DD3C4D"/>
    <w:rsid w:val="00DD4168"/>
    <w:rsid w:val="00DD4818"/>
    <w:rsid w:val="00DD6711"/>
    <w:rsid w:val="00DD7B8F"/>
    <w:rsid w:val="00DE2535"/>
    <w:rsid w:val="00DE36C7"/>
    <w:rsid w:val="00DE4675"/>
    <w:rsid w:val="00DE5F4A"/>
    <w:rsid w:val="00DF2E9B"/>
    <w:rsid w:val="00DF3D2E"/>
    <w:rsid w:val="00DF7521"/>
    <w:rsid w:val="00E0020C"/>
    <w:rsid w:val="00E014E6"/>
    <w:rsid w:val="00E03450"/>
    <w:rsid w:val="00E079AF"/>
    <w:rsid w:val="00E10B3E"/>
    <w:rsid w:val="00E25548"/>
    <w:rsid w:val="00E35078"/>
    <w:rsid w:val="00E3516B"/>
    <w:rsid w:val="00E35FFD"/>
    <w:rsid w:val="00E40966"/>
    <w:rsid w:val="00E50F56"/>
    <w:rsid w:val="00E53D61"/>
    <w:rsid w:val="00E62169"/>
    <w:rsid w:val="00E62B74"/>
    <w:rsid w:val="00E723AD"/>
    <w:rsid w:val="00E8014C"/>
    <w:rsid w:val="00E847A4"/>
    <w:rsid w:val="00E86709"/>
    <w:rsid w:val="00E86D1F"/>
    <w:rsid w:val="00E86E67"/>
    <w:rsid w:val="00E87403"/>
    <w:rsid w:val="00EA640A"/>
    <w:rsid w:val="00EB2005"/>
    <w:rsid w:val="00EB355A"/>
    <w:rsid w:val="00EB3A0F"/>
    <w:rsid w:val="00EB3A74"/>
    <w:rsid w:val="00EB6049"/>
    <w:rsid w:val="00EB619D"/>
    <w:rsid w:val="00EB64E3"/>
    <w:rsid w:val="00EC3E80"/>
    <w:rsid w:val="00EC4DA3"/>
    <w:rsid w:val="00EC62FE"/>
    <w:rsid w:val="00EC65BA"/>
    <w:rsid w:val="00ED1175"/>
    <w:rsid w:val="00ED2150"/>
    <w:rsid w:val="00EE62F4"/>
    <w:rsid w:val="00EE7753"/>
    <w:rsid w:val="00EF16AA"/>
    <w:rsid w:val="00F0014C"/>
    <w:rsid w:val="00F01998"/>
    <w:rsid w:val="00F01E01"/>
    <w:rsid w:val="00F02BE0"/>
    <w:rsid w:val="00F02E9E"/>
    <w:rsid w:val="00F0754A"/>
    <w:rsid w:val="00F1125D"/>
    <w:rsid w:val="00F1186F"/>
    <w:rsid w:val="00F17C3F"/>
    <w:rsid w:val="00F23735"/>
    <w:rsid w:val="00F24390"/>
    <w:rsid w:val="00F27D3B"/>
    <w:rsid w:val="00F314E5"/>
    <w:rsid w:val="00F343E4"/>
    <w:rsid w:val="00F40B64"/>
    <w:rsid w:val="00F41B54"/>
    <w:rsid w:val="00F426A2"/>
    <w:rsid w:val="00F434FC"/>
    <w:rsid w:val="00F43A16"/>
    <w:rsid w:val="00F53FAE"/>
    <w:rsid w:val="00F54F1F"/>
    <w:rsid w:val="00F55A8A"/>
    <w:rsid w:val="00F55D86"/>
    <w:rsid w:val="00F67134"/>
    <w:rsid w:val="00F70182"/>
    <w:rsid w:val="00F7037C"/>
    <w:rsid w:val="00F70E36"/>
    <w:rsid w:val="00F72E98"/>
    <w:rsid w:val="00F72F1E"/>
    <w:rsid w:val="00F73C16"/>
    <w:rsid w:val="00F74147"/>
    <w:rsid w:val="00F75E67"/>
    <w:rsid w:val="00F82D4F"/>
    <w:rsid w:val="00F840F0"/>
    <w:rsid w:val="00F8598C"/>
    <w:rsid w:val="00F874C3"/>
    <w:rsid w:val="00F87DBE"/>
    <w:rsid w:val="00F949E5"/>
    <w:rsid w:val="00F9510F"/>
    <w:rsid w:val="00FA075D"/>
    <w:rsid w:val="00FA53E5"/>
    <w:rsid w:val="00FA5EE8"/>
    <w:rsid w:val="00FA682B"/>
    <w:rsid w:val="00FA7196"/>
    <w:rsid w:val="00FA75A3"/>
    <w:rsid w:val="00FA7ABB"/>
    <w:rsid w:val="00FB3DA5"/>
    <w:rsid w:val="00FB72A2"/>
    <w:rsid w:val="00FC3A28"/>
    <w:rsid w:val="00FD17ED"/>
    <w:rsid w:val="00FD4BA0"/>
    <w:rsid w:val="00FD64F2"/>
    <w:rsid w:val="00FD6EEC"/>
    <w:rsid w:val="00FE2035"/>
    <w:rsid w:val="00FE4DE2"/>
    <w:rsid w:val="00FE5323"/>
    <w:rsid w:val="00FE745B"/>
    <w:rsid w:val="00FF2D9C"/>
    <w:rsid w:val="00FF39F5"/>
    <w:rsid w:val="00FF72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7E3E5C7B"/>
  <w15:chartTrackingRefBased/>
  <w15:docId w15:val="{3FEA855E-CA84-45CC-9B14-706B7F4E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szCs w:val="22"/>
        <w:lang w:val="hr-HR"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E61"/>
    <w:pPr>
      <w:spacing w:after="120" w:line="276" w:lineRule="auto"/>
      <w:jc w:val="both"/>
    </w:pPr>
    <w:rPr>
      <w:rFonts w:ascii="Times New Roman" w:eastAsiaTheme="minorEastAsia" w:hAnsi="Times New Roman"/>
      <w:sz w:val="24"/>
    </w:rPr>
  </w:style>
  <w:style w:type="paragraph" w:styleId="Heading1">
    <w:name w:val="heading 1"/>
    <w:basedOn w:val="NASLOV01"/>
    <w:next w:val="Normal"/>
    <w:link w:val="Heading1Char"/>
    <w:autoRedefine/>
    <w:uiPriority w:val="9"/>
    <w:qFormat/>
    <w:rsid w:val="001C1104"/>
    <w:pPr>
      <w:numPr>
        <w:numId w:val="12"/>
      </w:numPr>
      <w:spacing w:after="360"/>
      <w:ind w:left="431" w:right="0" w:hanging="431"/>
      <w:outlineLvl w:val="0"/>
    </w:pPr>
    <w:rPr>
      <w:rFonts w:ascii="Times New Roman" w:hAnsi="Times New Roman" w:cs="Times New Roman"/>
      <w:color w:val="646668"/>
      <w:sz w:val="44"/>
      <w:szCs w:val="44"/>
    </w:rPr>
  </w:style>
  <w:style w:type="paragraph" w:styleId="Heading2">
    <w:name w:val="heading 2"/>
    <w:basedOn w:val="Normal"/>
    <w:next w:val="Normal"/>
    <w:link w:val="Heading2Char"/>
    <w:uiPriority w:val="9"/>
    <w:unhideWhenUsed/>
    <w:qFormat/>
    <w:rsid w:val="00DC2EA3"/>
    <w:pPr>
      <w:keepNext/>
      <w:keepLines/>
      <w:numPr>
        <w:ilvl w:val="1"/>
        <w:numId w:val="12"/>
      </w:numPr>
      <w:spacing w:before="40" w:after="240" w:line="240" w:lineRule="auto"/>
      <w:ind w:left="578" w:hanging="578"/>
      <w:outlineLvl w:val="1"/>
    </w:pPr>
    <w:rPr>
      <w:rFonts w:ascii="Montserrat" w:eastAsiaTheme="majorEastAsia" w:hAnsi="Montserrat" w:cstheme="majorBidi"/>
      <w:color w:val="646668"/>
      <w:sz w:val="36"/>
      <w:szCs w:val="26"/>
    </w:rPr>
  </w:style>
  <w:style w:type="paragraph" w:styleId="Heading3">
    <w:name w:val="heading 3"/>
    <w:basedOn w:val="Normal"/>
    <w:next w:val="Normal"/>
    <w:link w:val="Heading3Char"/>
    <w:uiPriority w:val="9"/>
    <w:unhideWhenUsed/>
    <w:qFormat/>
    <w:rsid w:val="007E4829"/>
    <w:pPr>
      <w:keepNext/>
      <w:keepLines/>
      <w:numPr>
        <w:ilvl w:val="2"/>
        <w:numId w:val="12"/>
      </w:numPr>
      <w:spacing w:before="120"/>
      <w:outlineLvl w:val="2"/>
    </w:pPr>
    <w:rPr>
      <w:rFonts w:ascii="Montserrat" w:eastAsiaTheme="majorEastAsia" w:hAnsi="Montserrat" w:cstheme="majorBidi"/>
      <w:color w:val="646668"/>
      <w:szCs w:val="24"/>
    </w:rPr>
  </w:style>
  <w:style w:type="paragraph" w:styleId="Heading4">
    <w:name w:val="heading 4"/>
    <w:basedOn w:val="Normal"/>
    <w:next w:val="Normal"/>
    <w:link w:val="Heading4Char"/>
    <w:uiPriority w:val="9"/>
    <w:semiHidden/>
    <w:unhideWhenUsed/>
    <w:qFormat/>
    <w:rsid w:val="001C0887"/>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0887"/>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0887"/>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0887"/>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0887"/>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0887"/>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F1F"/>
  </w:style>
  <w:style w:type="paragraph" w:styleId="Footer">
    <w:name w:val="footer"/>
    <w:basedOn w:val="Normal"/>
    <w:link w:val="FooterChar"/>
    <w:uiPriority w:val="99"/>
    <w:unhideWhenUsed/>
    <w:rsid w:val="00F54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F1F"/>
  </w:style>
  <w:style w:type="character" w:styleId="SubtleEmphasis">
    <w:name w:val="Subtle Emphasis"/>
    <w:uiPriority w:val="19"/>
    <w:qFormat/>
    <w:rsid w:val="00F54F1F"/>
    <w:rPr>
      <w:rFonts w:ascii="Montserrat Light" w:hAnsi="Montserrat Light"/>
      <w:b w:val="0"/>
      <w:bCs w:val="0"/>
      <w:i w:val="0"/>
      <w:iCs w:val="0"/>
      <w:caps/>
      <w:smallCaps w:val="0"/>
      <w:strike w:val="0"/>
      <w:dstrike w:val="0"/>
      <w:vanish w:val="0"/>
      <w:spacing w:val="30"/>
      <w:kern w:val="0"/>
      <w:sz w:val="18"/>
      <w:szCs w:val="18"/>
      <w:vertAlign w:val="baseline"/>
    </w:rPr>
  </w:style>
  <w:style w:type="character" w:styleId="BookTitle">
    <w:name w:val="Book Title"/>
    <w:uiPriority w:val="33"/>
    <w:qFormat/>
    <w:rsid w:val="00F54F1F"/>
    <w:rPr>
      <w:rFonts w:ascii="Montserrat Light" w:hAnsi="Montserrat Light"/>
      <w:i w:val="0"/>
      <w:iCs w:val="0"/>
      <w:caps/>
      <w:smallCaps w:val="0"/>
      <w:spacing w:val="5"/>
    </w:rPr>
  </w:style>
  <w:style w:type="paragraph" w:customStyle="1" w:styleId="Malinaslovopisa">
    <w:name w:val="Mali naslov opisa"/>
    <w:basedOn w:val="Normal"/>
    <w:qFormat/>
    <w:rsid w:val="00F54F1F"/>
    <w:pPr>
      <w:spacing w:after="0" w:line="264" w:lineRule="auto"/>
      <w:ind w:right="-198"/>
    </w:pPr>
    <w:rPr>
      <w:rFonts w:cstheme="minorHAnsi"/>
      <w:color w:val="595959" w:themeColor="text1" w:themeTint="A6"/>
    </w:rPr>
  </w:style>
  <w:style w:type="character" w:customStyle="1" w:styleId="Heading1Char">
    <w:name w:val="Heading 1 Char"/>
    <w:basedOn w:val="DefaultParagraphFont"/>
    <w:link w:val="Heading1"/>
    <w:uiPriority w:val="9"/>
    <w:rsid w:val="001C1104"/>
    <w:rPr>
      <w:rFonts w:ascii="Times New Roman" w:eastAsiaTheme="minorEastAsia" w:hAnsi="Times New Roman" w:cs="Times New Roman"/>
      <w:color w:val="646668"/>
      <w:sz w:val="44"/>
      <w:szCs w:val="44"/>
    </w:rPr>
  </w:style>
  <w:style w:type="paragraph" w:styleId="NoSpacing">
    <w:name w:val="No Spacing"/>
    <w:basedOn w:val="Normal"/>
    <w:link w:val="NoSpacingChar"/>
    <w:uiPriority w:val="1"/>
    <w:qFormat/>
    <w:rsid w:val="00F54F1F"/>
    <w:pPr>
      <w:spacing w:after="0" w:line="240" w:lineRule="auto"/>
    </w:pPr>
    <w:rPr>
      <w:b/>
      <w:spacing w:val="24"/>
      <w:sz w:val="26"/>
      <w:szCs w:val="24"/>
    </w:rPr>
  </w:style>
  <w:style w:type="character" w:customStyle="1" w:styleId="NoSpacingChar">
    <w:name w:val="No Spacing Char"/>
    <w:basedOn w:val="DefaultParagraphFont"/>
    <w:link w:val="NoSpacing"/>
    <w:uiPriority w:val="1"/>
    <w:rsid w:val="00F54F1F"/>
    <w:rPr>
      <w:rFonts w:ascii="Montserrat Regular" w:eastAsiaTheme="minorEastAsia" w:hAnsi="Montserrat Regular"/>
      <w:b/>
      <w:color w:val="7F7F7F" w:themeColor="text1" w:themeTint="80"/>
      <w:spacing w:val="24"/>
      <w:sz w:val="26"/>
      <w:szCs w:val="24"/>
      <w:lang w:val="en-US"/>
    </w:rPr>
  </w:style>
  <w:style w:type="table" w:styleId="LightShading">
    <w:name w:val="Light Shading"/>
    <w:basedOn w:val="TableNormal"/>
    <w:uiPriority w:val="60"/>
    <w:rsid w:val="00F54F1F"/>
    <w:pPr>
      <w:spacing w:after="0" w:line="240" w:lineRule="auto"/>
    </w:pPr>
    <w:rPr>
      <w:rFonts w:asciiTheme="minorHAnsi" w:eastAsiaTheme="minorEastAsia" w:hAnsiTheme="minorHAnsi"/>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54F1F"/>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NASLOV01">
    <w:name w:val="NASLOV 01"/>
    <w:basedOn w:val="Normal"/>
    <w:link w:val="NASLOV01Char"/>
    <w:autoRedefine/>
    <w:qFormat/>
    <w:rsid w:val="00D825C1"/>
    <w:pPr>
      <w:spacing w:before="120" w:after="0"/>
      <w:ind w:left="851" w:right="-6"/>
    </w:pPr>
    <w:rPr>
      <w:rFonts w:ascii="Montserrat" w:hAnsi="Montserrat" w:cstheme="minorHAnsi"/>
    </w:rPr>
  </w:style>
  <w:style w:type="character" w:styleId="PageNumber">
    <w:name w:val="page number"/>
    <w:basedOn w:val="DefaultParagraphFont"/>
    <w:uiPriority w:val="99"/>
    <w:semiHidden/>
    <w:unhideWhenUsed/>
    <w:qFormat/>
    <w:rsid w:val="00F54F1F"/>
    <w:rPr>
      <w:rFonts w:ascii="Montserrat Regular" w:hAnsi="Montserrat Regular"/>
      <w:sz w:val="18"/>
    </w:rPr>
  </w:style>
  <w:style w:type="paragraph" w:customStyle="1" w:styleId="PODNASLOV01">
    <w:name w:val="PODNASLOV 01"/>
    <w:basedOn w:val="Normal"/>
    <w:autoRedefine/>
    <w:qFormat/>
    <w:rsid w:val="00F54F1F"/>
    <w:pPr>
      <w:spacing w:after="0" w:line="240" w:lineRule="auto"/>
    </w:pPr>
    <w:rPr>
      <w:rFonts w:ascii="Montserrat Light" w:hAnsi="Montserrat Light" w:cstheme="minorHAnsi"/>
      <w:color w:val="595959" w:themeColor="text1" w:themeTint="A6"/>
      <w:sz w:val="40"/>
      <w:szCs w:val="40"/>
    </w:rPr>
  </w:style>
  <w:style w:type="paragraph" w:customStyle="1" w:styleId="NASLOVNICA">
    <w:name w:val="NASLOVNICA"/>
    <w:basedOn w:val="Normal"/>
    <w:link w:val="NASLOVNICAChar"/>
    <w:qFormat/>
    <w:rsid w:val="00F7037C"/>
    <w:pPr>
      <w:spacing w:after="0" w:line="240" w:lineRule="auto"/>
      <w:ind w:left="2126"/>
      <w:jc w:val="left"/>
    </w:pPr>
    <w:rPr>
      <w:color w:val="64666C"/>
      <w:sz w:val="60"/>
    </w:rPr>
  </w:style>
  <w:style w:type="character" w:customStyle="1" w:styleId="Heading2Char">
    <w:name w:val="Heading 2 Char"/>
    <w:basedOn w:val="DefaultParagraphFont"/>
    <w:link w:val="Heading2"/>
    <w:uiPriority w:val="9"/>
    <w:rsid w:val="00DC2EA3"/>
    <w:rPr>
      <w:rFonts w:eastAsiaTheme="majorEastAsia" w:cstheme="majorBidi"/>
      <w:color w:val="646668"/>
      <w:sz w:val="36"/>
      <w:szCs w:val="26"/>
    </w:rPr>
  </w:style>
  <w:style w:type="character" w:customStyle="1" w:styleId="NASLOVNICAChar">
    <w:name w:val="NASLOVNICA Char"/>
    <w:basedOn w:val="DefaultParagraphFont"/>
    <w:link w:val="NASLOVNICA"/>
    <w:rsid w:val="00F7037C"/>
    <w:rPr>
      <w:rFonts w:ascii="Montserrat Regular" w:eastAsiaTheme="minorEastAsia" w:hAnsi="Montserrat Regular"/>
      <w:color w:val="64666C"/>
      <w:sz w:val="60"/>
    </w:rPr>
  </w:style>
  <w:style w:type="character" w:customStyle="1" w:styleId="Heading3Char">
    <w:name w:val="Heading 3 Char"/>
    <w:basedOn w:val="DefaultParagraphFont"/>
    <w:link w:val="Heading3"/>
    <w:uiPriority w:val="9"/>
    <w:rsid w:val="007E4829"/>
    <w:rPr>
      <w:rFonts w:eastAsiaTheme="majorEastAsia" w:cstheme="majorBidi"/>
      <w:color w:val="646668"/>
      <w:sz w:val="24"/>
      <w:szCs w:val="24"/>
    </w:rPr>
  </w:style>
  <w:style w:type="paragraph" w:styleId="TOCHeading">
    <w:name w:val="TOC Heading"/>
    <w:basedOn w:val="Heading1"/>
    <w:next w:val="Normal"/>
    <w:uiPriority w:val="39"/>
    <w:unhideWhenUsed/>
    <w:qFormat/>
    <w:rsid w:val="004812D3"/>
    <w:pPr>
      <w:keepNext/>
      <w:keepLines/>
      <w:numPr>
        <w:numId w:val="0"/>
      </w:numPr>
      <w:spacing w:before="240"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694B61"/>
    <w:pPr>
      <w:tabs>
        <w:tab w:val="left" w:pos="440"/>
        <w:tab w:val="right" w:leader="dot" w:pos="9617"/>
      </w:tabs>
      <w:spacing w:after="60"/>
    </w:pPr>
    <w:rPr>
      <w:szCs w:val="20"/>
    </w:rPr>
  </w:style>
  <w:style w:type="paragraph" w:styleId="TOC2">
    <w:name w:val="toc 2"/>
    <w:basedOn w:val="Normal"/>
    <w:next w:val="Normal"/>
    <w:autoRedefine/>
    <w:uiPriority w:val="39"/>
    <w:unhideWhenUsed/>
    <w:rsid w:val="002128A9"/>
    <w:pPr>
      <w:tabs>
        <w:tab w:val="left" w:pos="660"/>
        <w:tab w:val="right" w:leader="dot" w:pos="9607"/>
      </w:tabs>
      <w:spacing w:after="100"/>
      <w:ind w:left="220"/>
    </w:pPr>
  </w:style>
  <w:style w:type="paragraph" w:styleId="TOC3">
    <w:name w:val="toc 3"/>
    <w:basedOn w:val="Normal"/>
    <w:next w:val="Normal"/>
    <w:autoRedefine/>
    <w:uiPriority w:val="39"/>
    <w:unhideWhenUsed/>
    <w:rsid w:val="002128A9"/>
    <w:pPr>
      <w:tabs>
        <w:tab w:val="left" w:pos="1100"/>
        <w:tab w:val="right" w:leader="dot" w:pos="9607"/>
      </w:tabs>
      <w:spacing w:after="100"/>
      <w:ind w:left="440"/>
    </w:pPr>
  </w:style>
  <w:style w:type="character" w:styleId="Hyperlink">
    <w:name w:val="Hyperlink"/>
    <w:basedOn w:val="DefaultParagraphFont"/>
    <w:uiPriority w:val="99"/>
    <w:unhideWhenUsed/>
    <w:rsid w:val="004812D3"/>
    <w:rPr>
      <w:color w:val="0563C1" w:themeColor="hyperlink"/>
      <w:u w:val="single"/>
    </w:rPr>
  </w:style>
  <w:style w:type="paragraph" w:customStyle="1" w:styleId="Style1">
    <w:name w:val="Style1"/>
    <w:basedOn w:val="Normal"/>
    <w:qFormat/>
    <w:rsid w:val="004812D3"/>
    <w:pPr>
      <w:spacing w:after="0" w:line="240" w:lineRule="auto"/>
      <w:ind w:right="-201"/>
    </w:pPr>
    <w:rPr>
      <w:rFonts w:ascii="Montserrat Light" w:hAnsi="Montserrat Light" w:cstheme="minorHAnsi"/>
      <w:sz w:val="40"/>
      <w:szCs w:val="40"/>
    </w:rPr>
  </w:style>
  <w:style w:type="character" w:customStyle="1" w:styleId="Heading4Char">
    <w:name w:val="Heading 4 Char"/>
    <w:basedOn w:val="DefaultParagraphFont"/>
    <w:link w:val="Heading4"/>
    <w:uiPriority w:val="9"/>
    <w:semiHidden/>
    <w:rsid w:val="001C0887"/>
    <w:rPr>
      <w:rFonts w:asciiTheme="majorHAnsi" w:eastAsiaTheme="majorEastAsia" w:hAnsiTheme="majorHAnsi" w:cstheme="majorBidi"/>
      <w:i/>
      <w:iCs/>
      <w:color w:val="2F5496" w:themeColor="accent1" w:themeShade="BF"/>
      <w:sz w:val="22"/>
      <w:lang w:val="en-US"/>
    </w:rPr>
  </w:style>
  <w:style w:type="character" w:customStyle="1" w:styleId="Heading5Char">
    <w:name w:val="Heading 5 Char"/>
    <w:basedOn w:val="DefaultParagraphFont"/>
    <w:link w:val="Heading5"/>
    <w:uiPriority w:val="9"/>
    <w:semiHidden/>
    <w:rsid w:val="001C0887"/>
    <w:rPr>
      <w:rFonts w:asciiTheme="majorHAnsi" w:eastAsiaTheme="majorEastAsia" w:hAnsiTheme="majorHAnsi" w:cstheme="majorBidi"/>
      <w:color w:val="2F5496" w:themeColor="accent1" w:themeShade="BF"/>
      <w:sz w:val="22"/>
      <w:lang w:val="en-US"/>
    </w:rPr>
  </w:style>
  <w:style w:type="character" w:customStyle="1" w:styleId="Heading6Char">
    <w:name w:val="Heading 6 Char"/>
    <w:basedOn w:val="DefaultParagraphFont"/>
    <w:link w:val="Heading6"/>
    <w:uiPriority w:val="9"/>
    <w:semiHidden/>
    <w:rsid w:val="001C0887"/>
    <w:rPr>
      <w:rFonts w:asciiTheme="majorHAnsi" w:eastAsiaTheme="majorEastAsia" w:hAnsiTheme="majorHAnsi" w:cstheme="majorBidi"/>
      <w:color w:val="1F3763" w:themeColor="accent1" w:themeShade="7F"/>
      <w:sz w:val="22"/>
      <w:lang w:val="en-US"/>
    </w:rPr>
  </w:style>
  <w:style w:type="character" w:customStyle="1" w:styleId="Heading7Char">
    <w:name w:val="Heading 7 Char"/>
    <w:basedOn w:val="DefaultParagraphFont"/>
    <w:link w:val="Heading7"/>
    <w:uiPriority w:val="9"/>
    <w:semiHidden/>
    <w:rsid w:val="001C0887"/>
    <w:rPr>
      <w:rFonts w:asciiTheme="majorHAnsi" w:eastAsiaTheme="majorEastAsia" w:hAnsiTheme="majorHAnsi" w:cstheme="majorBidi"/>
      <w:i/>
      <w:iCs/>
      <w:color w:val="1F3763" w:themeColor="accent1" w:themeShade="7F"/>
      <w:sz w:val="22"/>
      <w:lang w:val="en-US"/>
    </w:rPr>
  </w:style>
  <w:style w:type="character" w:customStyle="1" w:styleId="Heading8Char">
    <w:name w:val="Heading 8 Char"/>
    <w:basedOn w:val="DefaultParagraphFont"/>
    <w:link w:val="Heading8"/>
    <w:uiPriority w:val="9"/>
    <w:semiHidden/>
    <w:rsid w:val="001C088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C0887"/>
    <w:rPr>
      <w:rFonts w:asciiTheme="majorHAnsi" w:eastAsiaTheme="majorEastAsia" w:hAnsiTheme="majorHAnsi" w:cstheme="majorBidi"/>
      <w:i/>
      <w:iCs/>
      <w:color w:val="272727" w:themeColor="text1" w:themeTint="D8"/>
      <w:sz w:val="21"/>
      <w:szCs w:val="21"/>
      <w:lang w:val="en-US"/>
    </w:rPr>
  </w:style>
  <w:style w:type="character" w:styleId="UnresolvedMention">
    <w:name w:val="Unresolved Mention"/>
    <w:basedOn w:val="DefaultParagraphFont"/>
    <w:uiPriority w:val="99"/>
    <w:semiHidden/>
    <w:unhideWhenUsed/>
    <w:rsid w:val="000534B3"/>
    <w:rPr>
      <w:color w:val="605E5C"/>
      <w:shd w:val="clear" w:color="auto" w:fill="E1DFDD"/>
    </w:rPr>
  </w:style>
  <w:style w:type="paragraph" w:styleId="ListParagraph">
    <w:name w:val="List Paragraph"/>
    <w:basedOn w:val="Normal"/>
    <w:uiPriority w:val="34"/>
    <w:qFormat/>
    <w:rsid w:val="00F7037C"/>
    <w:pPr>
      <w:spacing w:after="240"/>
      <w:ind w:left="720" w:right="-6"/>
      <w:contextualSpacing/>
    </w:pPr>
  </w:style>
  <w:style w:type="character" w:styleId="CommentReference">
    <w:name w:val="annotation reference"/>
    <w:basedOn w:val="DefaultParagraphFont"/>
    <w:uiPriority w:val="99"/>
    <w:semiHidden/>
    <w:unhideWhenUsed/>
    <w:rsid w:val="00173904"/>
    <w:rPr>
      <w:sz w:val="16"/>
      <w:szCs w:val="16"/>
    </w:rPr>
  </w:style>
  <w:style w:type="paragraph" w:styleId="CommentText">
    <w:name w:val="annotation text"/>
    <w:basedOn w:val="Normal"/>
    <w:link w:val="CommentTextChar"/>
    <w:uiPriority w:val="99"/>
    <w:unhideWhenUsed/>
    <w:rsid w:val="00173904"/>
    <w:pPr>
      <w:spacing w:line="240" w:lineRule="auto"/>
    </w:pPr>
    <w:rPr>
      <w:sz w:val="20"/>
      <w:szCs w:val="20"/>
    </w:rPr>
  </w:style>
  <w:style w:type="character" w:customStyle="1" w:styleId="CommentTextChar">
    <w:name w:val="Comment Text Char"/>
    <w:basedOn w:val="DefaultParagraphFont"/>
    <w:link w:val="CommentText"/>
    <w:uiPriority w:val="99"/>
    <w:rsid w:val="00173904"/>
    <w:rPr>
      <w:rFonts w:ascii="Montserrat Regular" w:eastAsiaTheme="minorEastAsia" w:hAnsi="Montserrat Regular"/>
      <w:szCs w:val="20"/>
      <w:lang w:val="en-US"/>
    </w:rPr>
  </w:style>
  <w:style w:type="paragraph" w:styleId="CommentSubject">
    <w:name w:val="annotation subject"/>
    <w:basedOn w:val="CommentText"/>
    <w:next w:val="CommentText"/>
    <w:link w:val="CommentSubjectChar"/>
    <w:uiPriority w:val="99"/>
    <w:semiHidden/>
    <w:unhideWhenUsed/>
    <w:rsid w:val="00173904"/>
    <w:rPr>
      <w:b/>
      <w:bCs/>
    </w:rPr>
  </w:style>
  <w:style w:type="character" w:customStyle="1" w:styleId="CommentSubjectChar">
    <w:name w:val="Comment Subject Char"/>
    <w:basedOn w:val="CommentTextChar"/>
    <w:link w:val="CommentSubject"/>
    <w:uiPriority w:val="99"/>
    <w:semiHidden/>
    <w:rsid w:val="00173904"/>
    <w:rPr>
      <w:rFonts w:ascii="Montserrat Regular" w:eastAsiaTheme="minorEastAsia" w:hAnsi="Montserrat Regular"/>
      <w:b/>
      <w:bCs/>
      <w:szCs w:val="20"/>
      <w:lang w:val="en-US"/>
    </w:rPr>
  </w:style>
  <w:style w:type="paragraph" w:styleId="Revision">
    <w:name w:val="Revision"/>
    <w:hidden/>
    <w:uiPriority w:val="99"/>
    <w:semiHidden/>
    <w:rsid w:val="007F18E8"/>
    <w:pPr>
      <w:spacing w:after="0" w:line="240" w:lineRule="auto"/>
    </w:pPr>
    <w:rPr>
      <w:rFonts w:ascii="Montserrat Regular" w:eastAsiaTheme="minorEastAsia" w:hAnsi="Montserrat Regular"/>
      <w:sz w:val="22"/>
      <w:lang w:val="en-US"/>
    </w:rPr>
  </w:style>
  <w:style w:type="paragraph" w:customStyle="1" w:styleId="naslovic-italic">
    <w:name w:val="naslovic-italic"/>
    <w:basedOn w:val="NASLOV01"/>
    <w:link w:val="naslovic-italicChar"/>
    <w:qFormat/>
    <w:rsid w:val="009861CE"/>
    <w:pPr>
      <w:keepNext/>
    </w:pPr>
    <w:rPr>
      <w:i/>
      <w:u w:val="single"/>
    </w:rPr>
  </w:style>
  <w:style w:type="character" w:customStyle="1" w:styleId="NASLOV01Char">
    <w:name w:val="NASLOV 01 Char"/>
    <w:basedOn w:val="DefaultParagraphFont"/>
    <w:link w:val="NASLOV01"/>
    <w:rsid w:val="00D825C1"/>
    <w:rPr>
      <w:rFonts w:eastAsiaTheme="minorEastAsia" w:cstheme="minorHAnsi"/>
      <w:sz w:val="22"/>
    </w:rPr>
  </w:style>
  <w:style w:type="character" w:customStyle="1" w:styleId="naslovic-italicChar">
    <w:name w:val="naslovic-italic Char"/>
    <w:basedOn w:val="NASLOV01Char"/>
    <w:link w:val="naslovic-italic"/>
    <w:rsid w:val="009861CE"/>
    <w:rPr>
      <w:rFonts w:eastAsiaTheme="minorEastAsia" w:cstheme="minorHAnsi"/>
      <w:i/>
      <w:sz w:val="22"/>
      <w:u w:val="single"/>
    </w:rPr>
  </w:style>
  <w:style w:type="paragraph" w:styleId="Caption">
    <w:name w:val="caption"/>
    <w:basedOn w:val="Normal"/>
    <w:next w:val="Normal"/>
    <w:uiPriority w:val="35"/>
    <w:unhideWhenUsed/>
    <w:qFormat/>
    <w:rsid w:val="005C32D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83463"/>
    <w:pPr>
      <w:spacing w:after="0" w:line="360" w:lineRule="auto"/>
    </w:pPr>
    <w:rPr>
      <w:color w:val="000000" w:themeColor="text1"/>
    </w:rPr>
  </w:style>
  <w:style w:type="character" w:styleId="FollowedHyperlink">
    <w:name w:val="FollowedHyperlink"/>
    <w:basedOn w:val="DefaultParagraphFont"/>
    <w:uiPriority w:val="99"/>
    <w:semiHidden/>
    <w:unhideWhenUsed/>
    <w:rsid w:val="000A1D95"/>
    <w:rPr>
      <w:color w:val="954F72" w:themeColor="followedHyperlink"/>
      <w:u w:val="single"/>
    </w:rPr>
  </w:style>
  <w:style w:type="paragraph" w:styleId="FootnoteText">
    <w:name w:val="footnote text"/>
    <w:basedOn w:val="Normal"/>
    <w:link w:val="FootnoteTextChar"/>
    <w:uiPriority w:val="99"/>
    <w:semiHidden/>
    <w:unhideWhenUsed/>
    <w:rsid w:val="005504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4F3"/>
    <w:rPr>
      <w:rFonts w:ascii="Montserrat Regular" w:eastAsiaTheme="minorEastAsia" w:hAnsi="Montserrat Regular"/>
      <w:szCs w:val="20"/>
      <w:lang w:val="en-US"/>
    </w:rPr>
  </w:style>
  <w:style w:type="character" w:styleId="FootnoteReference">
    <w:name w:val="footnote reference"/>
    <w:basedOn w:val="DefaultParagraphFont"/>
    <w:uiPriority w:val="99"/>
    <w:semiHidden/>
    <w:unhideWhenUsed/>
    <w:rsid w:val="005504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16527">
      <w:bodyDiv w:val="1"/>
      <w:marLeft w:val="0"/>
      <w:marRight w:val="0"/>
      <w:marTop w:val="0"/>
      <w:marBottom w:val="0"/>
      <w:divBdr>
        <w:top w:val="none" w:sz="0" w:space="0" w:color="auto"/>
        <w:left w:val="none" w:sz="0" w:space="0" w:color="auto"/>
        <w:bottom w:val="none" w:sz="0" w:space="0" w:color="auto"/>
        <w:right w:val="none" w:sz="0" w:space="0" w:color="auto"/>
      </w:divBdr>
    </w:div>
    <w:div w:id="467821080">
      <w:bodyDiv w:val="1"/>
      <w:marLeft w:val="0"/>
      <w:marRight w:val="0"/>
      <w:marTop w:val="0"/>
      <w:marBottom w:val="0"/>
      <w:divBdr>
        <w:top w:val="none" w:sz="0" w:space="0" w:color="auto"/>
        <w:left w:val="none" w:sz="0" w:space="0" w:color="auto"/>
        <w:bottom w:val="none" w:sz="0" w:space="0" w:color="auto"/>
        <w:right w:val="none" w:sz="0" w:space="0" w:color="auto"/>
      </w:divBdr>
    </w:div>
    <w:div w:id="689524795">
      <w:bodyDiv w:val="1"/>
      <w:marLeft w:val="0"/>
      <w:marRight w:val="0"/>
      <w:marTop w:val="0"/>
      <w:marBottom w:val="0"/>
      <w:divBdr>
        <w:top w:val="none" w:sz="0" w:space="0" w:color="auto"/>
        <w:left w:val="none" w:sz="0" w:space="0" w:color="auto"/>
        <w:bottom w:val="none" w:sz="0" w:space="0" w:color="auto"/>
        <w:right w:val="none" w:sz="0" w:space="0" w:color="auto"/>
      </w:divBdr>
    </w:div>
    <w:div w:id="9642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hyperlink" Target="mailto:info@fond-nek.hr" TargetMode="Externa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AZJMDCZ6QSYZ-1849078857-37870</_dlc_DocId>
    <_dlc_DocIdUrl xmlns="a494813a-d0d8-4dad-94cb-0d196f36ba15">
      <Url>https://ekoordinacije.vlada.hr/koordinacija-gospodarstvo/_layouts/15/DocIdRedir.aspx?ID=AZJMDCZ6QSYZ-1849078857-37870</Url>
      <Description>AZJMDCZ6QSYZ-1849078857-37870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A7978C-1E19-4D60-8379-DC73FD9AAC69}">
  <ds:schemaRefs>
    <ds:schemaRef ds:uri="http://schemas.microsoft.com/sharepoint/v3/contenttype/forms"/>
  </ds:schemaRefs>
</ds:datastoreItem>
</file>

<file path=customXml/itemProps2.xml><?xml version="1.0" encoding="utf-8"?>
<ds:datastoreItem xmlns:ds="http://schemas.openxmlformats.org/officeDocument/2006/customXml" ds:itemID="{176347FA-C160-43AB-BF54-693A70FAD203}">
  <ds:schemaRefs>
    <ds:schemaRef ds:uri="http://purl.org/dc/dcmitype/"/>
    <ds:schemaRef ds:uri="http://schemas.microsoft.com/office/2006/metadata/properties"/>
    <ds:schemaRef ds:uri="047321b4-e054-43a9-ae7c-14b48238b89f"/>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3D240AE-2D7E-4E43-8A89-AB6171B360EB}"/>
</file>

<file path=customXml/itemProps4.xml><?xml version="1.0" encoding="utf-8"?>
<ds:datastoreItem xmlns:ds="http://schemas.openxmlformats.org/officeDocument/2006/customXml" ds:itemID="{EAC48D83-C0FE-49D6-8285-54C832004D9A}">
  <ds:schemaRefs>
    <ds:schemaRef ds:uri="http://schemas.openxmlformats.org/officeDocument/2006/bibliography"/>
  </ds:schemaRefs>
</ds:datastoreItem>
</file>

<file path=customXml/itemProps5.xml><?xml version="1.0" encoding="utf-8"?>
<ds:datastoreItem xmlns:ds="http://schemas.openxmlformats.org/officeDocument/2006/customXml" ds:itemID="{15E35530-4E07-49D9-81D7-179DDEF37E19}"/>
</file>

<file path=docProps/app.xml><?xml version="1.0" encoding="utf-8"?>
<Properties xmlns="http://schemas.openxmlformats.org/officeDocument/2006/extended-properties" xmlns:vt="http://schemas.openxmlformats.org/officeDocument/2006/docPropsVTypes">
  <Template>Normal</Template>
  <TotalTime>1582</TotalTime>
  <Pages>28</Pages>
  <Words>7125</Words>
  <Characters>40614</Characters>
  <Application>Microsoft Office Word</Application>
  <DocSecurity>0</DocSecurity>
  <Lines>338</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Miščević</dc:creator>
  <cp:keywords/>
  <dc:description/>
  <cp:lastModifiedBy>Andreja Mamić</cp:lastModifiedBy>
  <cp:revision>17</cp:revision>
  <cp:lastPrinted>2024-01-30T13:41:00Z</cp:lastPrinted>
  <dcterms:created xsi:type="dcterms:W3CDTF">2024-02-13T08:00:00Z</dcterms:created>
  <dcterms:modified xsi:type="dcterms:W3CDTF">2024-02-20T12:20:00Z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473a6611-538f-4b42-b2e4-dd3b9cd2027c</vt:lpwstr>
  </property>
</Properties>
</file>